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2B20" w:rsidRPr="00A516D4" w:rsidRDefault="00F22B20" w:rsidP="00F22B20">
      <w:pPr>
        <w:pStyle w:val="Heading3"/>
        <w:jc w:val="center"/>
        <w:rPr>
          <w:rFonts w:ascii="Times New Roman" w:hAnsi="Times New Roman"/>
          <w:sz w:val="28"/>
          <w:szCs w:val="28"/>
        </w:rPr>
      </w:pPr>
      <w:r>
        <w:rPr>
          <w:rFonts w:ascii="Times New Roman" w:hAnsi="Times New Roman"/>
          <w:sz w:val="28"/>
          <w:szCs w:val="28"/>
        </w:rPr>
        <w:t>Wells and Groundwater in the Selwyn Aquifer</w:t>
      </w:r>
    </w:p>
    <w:p w:rsidR="00F22B20" w:rsidRPr="00A516D4" w:rsidRDefault="00F22B20" w:rsidP="00F22B20">
      <w:pPr>
        <w:rPr>
          <w:lang w:bidi="en-US"/>
        </w:rPr>
      </w:pPr>
    </w:p>
    <w:p w:rsidR="001A0E35" w:rsidRPr="00F806D4" w:rsidRDefault="00F22B20" w:rsidP="00F806D4">
      <w:pPr>
        <w:jc w:val="center"/>
        <w:rPr>
          <w:rFonts w:ascii="Times New Roman" w:hAnsi="Times New Roman"/>
          <w:b/>
          <w:bCs/>
          <w:sz w:val="24"/>
          <w:szCs w:val="24"/>
        </w:rPr>
      </w:pPr>
      <w:r w:rsidRPr="00A516D4">
        <w:rPr>
          <w:rFonts w:ascii="Times New Roman" w:hAnsi="Times New Roman"/>
          <w:b/>
          <w:bCs/>
          <w:sz w:val="24"/>
          <w:szCs w:val="24"/>
        </w:rPr>
        <w:t>Prepared by David R. Maidment</w:t>
      </w:r>
      <w:r w:rsidRPr="00A516D4">
        <w:rPr>
          <w:rFonts w:ascii="Times New Roman" w:hAnsi="Times New Roman"/>
          <w:sz w:val="24"/>
          <w:szCs w:val="24"/>
        </w:rPr>
        <w:br/>
      </w:r>
      <w:r w:rsidRPr="00A516D4">
        <w:rPr>
          <w:rFonts w:ascii="Times New Roman" w:hAnsi="Times New Roman"/>
          <w:b/>
          <w:bCs/>
          <w:sz w:val="24"/>
          <w:szCs w:val="24"/>
        </w:rPr>
        <w:t>Waterways Centre for Freshwater Research</w:t>
      </w:r>
      <w:r w:rsidRPr="00A516D4">
        <w:rPr>
          <w:rFonts w:ascii="Times New Roman" w:hAnsi="Times New Roman"/>
          <w:sz w:val="24"/>
          <w:szCs w:val="24"/>
        </w:rPr>
        <w:t xml:space="preserve"> </w:t>
      </w:r>
      <w:r w:rsidRPr="00A516D4">
        <w:rPr>
          <w:rFonts w:ascii="Times New Roman" w:hAnsi="Times New Roman"/>
          <w:sz w:val="24"/>
          <w:szCs w:val="24"/>
        </w:rPr>
        <w:br/>
      </w:r>
      <w:r w:rsidRPr="00A516D4">
        <w:rPr>
          <w:rFonts w:ascii="Times New Roman" w:hAnsi="Times New Roman"/>
          <w:b/>
          <w:bCs/>
          <w:sz w:val="24"/>
          <w:szCs w:val="24"/>
        </w:rPr>
        <w:t>University of Canterbury</w:t>
      </w:r>
      <w:r>
        <w:rPr>
          <w:rFonts w:ascii="Times New Roman" w:hAnsi="Times New Roman"/>
          <w:b/>
          <w:bCs/>
          <w:sz w:val="24"/>
          <w:szCs w:val="24"/>
        </w:rPr>
        <w:br/>
      </w:r>
      <w:r w:rsidRPr="00A516D4">
        <w:rPr>
          <w:rFonts w:ascii="Times New Roman" w:hAnsi="Times New Roman"/>
          <w:sz w:val="24"/>
          <w:szCs w:val="24"/>
        </w:rPr>
        <w:br/>
      </w:r>
      <w:r>
        <w:rPr>
          <w:rFonts w:ascii="Times New Roman" w:hAnsi="Times New Roman"/>
          <w:b/>
          <w:bCs/>
          <w:sz w:val="24"/>
          <w:szCs w:val="24"/>
        </w:rPr>
        <w:t>March</w:t>
      </w:r>
      <w:r w:rsidRPr="00A516D4">
        <w:rPr>
          <w:rFonts w:ascii="Times New Roman" w:hAnsi="Times New Roman"/>
          <w:b/>
          <w:bCs/>
          <w:sz w:val="24"/>
          <w:szCs w:val="24"/>
        </w:rPr>
        <w:t xml:space="preserve"> 2018</w:t>
      </w:r>
      <w:bookmarkStart w:id="0" w:name="Goals"/>
      <w:bookmarkStart w:id="1" w:name="_Toc334624217"/>
      <w:bookmarkEnd w:id="0"/>
    </w:p>
    <w:p w:rsidR="00365389" w:rsidRDefault="00365389" w:rsidP="00F22B20">
      <w:pPr>
        <w:pStyle w:val="Heading3"/>
        <w:spacing w:after="240"/>
        <w:rPr>
          <w:rFonts w:asciiTheme="majorHAnsi" w:hAnsiTheme="majorHAnsi"/>
          <w:sz w:val="27"/>
          <w:szCs w:val="27"/>
        </w:rPr>
      </w:pPr>
    </w:p>
    <w:sdt>
      <w:sdtPr>
        <w:id w:val="644246783"/>
        <w:docPartObj>
          <w:docPartGallery w:val="Table of Contents"/>
          <w:docPartUnique/>
        </w:docPartObj>
      </w:sdtPr>
      <w:sdtEndPr>
        <w:rPr>
          <w:rFonts w:asciiTheme="minorHAnsi" w:eastAsiaTheme="minorHAnsi" w:hAnsiTheme="minorHAnsi" w:cstheme="minorBidi"/>
          <w:color w:val="auto"/>
          <w:sz w:val="22"/>
          <w:szCs w:val="22"/>
        </w:rPr>
      </w:sdtEndPr>
      <w:sdtContent>
        <w:p w:rsidR="00365389" w:rsidRDefault="00365389">
          <w:pPr>
            <w:pStyle w:val="TOCHeading"/>
          </w:pPr>
          <w:r>
            <w:t>Table of Contents</w:t>
          </w:r>
        </w:p>
        <w:p w:rsidR="00365389" w:rsidRPr="00365389" w:rsidRDefault="00365389">
          <w:pPr>
            <w:pStyle w:val="TOC1"/>
          </w:pPr>
          <w:r w:rsidRPr="00365389">
            <w:rPr>
              <w:bCs/>
            </w:rPr>
            <w:t>Goals of the Exercise, and Computer and Data Requirements</w:t>
          </w:r>
          <w:r w:rsidRPr="00365389">
            <w:ptab w:relativeTo="margin" w:alignment="right" w:leader="dot"/>
          </w:r>
          <w:r w:rsidRPr="00365389">
            <w:rPr>
              <w:bCs/>
            </w:rPr>
            <w:t>1</w:t>
          </w:r>
        </w:p>
        <w:p w:rsidR="00365389" w:rsidRPr="00365389" w:rsidRDefault="00365389">
          <w:pPr>
            <w:pStyle w:val="TOC1"/>
          </w:pPr>
          <w:r w:rsidRPr="00365389">
            <w:rPr>
              <w:bCs/>
            </w:rPr>
            <w:t>Procedure</w:t>
          </w:r>
          <w:r w:rsidRPr="00365389">
            <w:ptab w:relativeTo="margin" w:alignment="right" w:leader="dot"/>
          </w:r>
          <w:r w:rsidRPr="00365389">
            <w:rPr>
              <w:bCs/>
            </w:rPr>
            <w:t>2</w:t>
          </w:r>
        </w:p>
        <w:p w:rsidR="00365389" w:rsidRDefault="00365389" w:rsidP="00365389">
          <w:pPr>
            <w:pStyle w:val="TOC2"/>
            <w:numPr>
              <w:ilvl w:val="0"/>
              <w:numId w:val="6"/>
            </w:numPr>
          </w:pPr>
          <w:r>
            <w:t>Map of Observation Wells</w:t>
          </w:r>
          <w:r>
            <w:ptab w:relativeTo="margin" w:alignment="right" w:leader="dot"/>
          </w:r>
          <w:r>
            <w:t>2</w:t>
          </w:r>
        </w:p>
        <w:p w:rsidR="00365389" w:rsidRDefault="00365389" w:rsidP="00365389">
          <w:pPr>
            <w:pStyle w:val="TOC2"/>
            <w:numPr>
              <w:ilvl w:val="0"/>
              <w:numId w:val="6"/>
            </w:numPr>
          </w:pPr>
          <w:r>
            <w:t xml:space="preserve">Story of a Well …………………………………………………………………………………………………………………………..… </w:t>
          </w:r>
          <w:r w:rsidR="00447827">
            <w:t>7</w:t>
          </w:r>
          <w:bookmarkStart w:id="2" w:name="_GoBack"/>
          <w:bookmarkEnd w:id="2"/>
          <w:r>
            <w:t xml:space="preserve"> </w:t>
          </w:r>
        </w:p>
        <w:p w:rsidR="00365389" w:rsidRDefault="00365389" w:rsidP="00365389">
          <w:pPr>
            <w:pStyle w:val="TOC2"/>
            <w:numPr>
              <w:ilvl w:val="0"/>
              <w:numId w:val="6"/>
            </w:numPr>
          </w:pPr>
          <w:r>
            <w:t>Description of the Selwyn Aquifer</w:t>
          </w:r>
          <w:r>
            <w:ptab w:relativeTo="margin" w:alignment="right" w:leader="dot"/>
          </w:r>
          <w:r>
            <w:t>13</w:t>
          </w:r>
        </w:p>
        <w:p w:rsidR="00365389" w:rsidRDefault="00365389" w:rsidP="00365389">
          <w:pPr>
            <w:pStyle w:val="TOC2"/>
            <w:numPr>
              <w:ilvl w:val="0"/>
              <w:numId w:val="6"/>
            </w:numPr>
          </w:pPr>
          <w:r>
            <w:t>Water Level Map and Travel Time in the Aquifer ………………………………………………………………………. 19</w:t>
          </w:r>
        </w:p>
        <w:p w:rsidR="00365389" w:rsidRPr="00ED0EEC" w:rsidRDefault="00365389" w:rsidP="00ED0EEC">
          <w:pPr>
            <w:pStyle w:val="ListParagraph"/>
            <w:numPr>
              <w:ilvl w:val="0"/>
              <w:numId w:val="6"/>
            </w:numPr>
          </w:pPr>
          <w:r>
            <w:t>Items to be Turn In ……………………………………………………………………………………………………………………. 2</w:t>
          </w:r>
          <w:r w:rsidR="001717FF">
            <w:t>8</w:t>
          </w:r>
        </w:p>
      </w:sdtContent>
    </w:sdt>
    <w:p w:rsidR="00F22B20" w:rsidRPr="001A0E35" w:rsidRDefault="00F22B20" w:rsidP="00F22B20">
      <w:pPr>
        <w:pStyle w:val="Heading3"/>
        <w:spacing w:after="240"/>
        <w:rPr>
          <w:rFonts w:asciiTheme="majorHAnsi" w:hAnsiTheme="majorHAnsi"/>
          <w:sz w:val="27"/>
          <w:szCs w:val="27"/>
        </w:rPr>
      </w:pPr>
      <w:r w:rsidRPr="001A0E35">
        <w:rPr>
          <w:rFonts w:asciiTheme="majorHAnsi" w:hAnsiTheme="majorHAnsi"/>
          <w:sz w:val="27"/>
          <w:szCs w:val="27"/>
        </w:rPr>
        <w:t>Goals of the Exercise</w:t>
      </w:r>
      <w:bookmarkEnd w:id="1"/>
    </w:p>
    <w:p w:rsidR="00DE7493" w:rsidRPr="004365C4" w:rsidRDefault="002E6E37" w:rsidP="00F22B20">
      <w:pPr>
        <w:rPr>
          <w:rFonts w:ascii="Times New Roman" w:hAnsi="Times New Roman"/>
        </w:rPr>
      </w:pPr>
      <w:r>
        <w:rPr>
          <w:rFonts w:ascii="Times New Roman" w:hAnsi="Times New Roman"/>
        </w:rPr>
        <w:t xml:space="preserve">This exercise introduces you to the monitoring wells in the Selwyn aquifer, </w:t>
      </w:r>
      <w:r w:rsidR="00352845">
        <w:rPr>
          <w:rFonts w:ascii="Times New Roman" w:hAnsi="Times New Roman"/>
        </w:rPr>
        <w:t>examines one well in particular so you can see the details of its construction and the water levels recorded in it.</w:t>
      </w:r>
      <w:r w:rsidR="00DE7493">
        <w:rPr>
          <w:rFonts w:ascii="Times New Roman" w:hAnsi="Times New Roman"/>
        </w:rPr>
        <w:t xml:space="preserve">  Then you’ll work with the mesh for a Modflow model of the aquifer and see how this relates to the well you’ve just studied.  You’ll make a map of the water level across the Selwyn aquifer and estimate the travel time of groundwater contamination to travel to Te Waihoro/Lake Ellesmere.</w:t>
      </w:r>
    </w:p>
    <w:p w:rsidR="00F22B20" w:rsidRPr="004365C4" w:rsidRDefault="00365389" w:rsidP="00F22B20">
      <w:pPr>
        <w:jc w:val="center"/>
        <w:rPr>
          <w:rFonts w:ascii="Times New Roman" w:hAnsi="Times New Roman"/>
        </w:rPr>
      </w:pPr>
      <w:r>
        <w:rPr>
          <w:rFonts w:ascii="Times New Roman" w:hAnsi="Times New Roman"/>
        </w:rPr>
        <w:pict>
          <v:rect id="_x0000_i1056" style="width:594.6pt;height:1.8pt" o:hralign="center" o:hrstd="t" o:hr="t" fillcolor="gray" stroked="f"/>
        </w:pict>
      </w:r>
    </w:p>
    <w:p w:rsidR="00F22B20" w:rsidRPr="001A0E35" w:rsidRDefault="00F22B20" w:rsidP="00F22B20">
      <w:pPr>
        <w:pStyle w:val="Heading3"/>
        <w:spacing w:after="240"/>
        <w:rPr>
          <w:rFonts w:asciiTheme="majorHAnsi" w:hAnsiTheme="majorHAnsi"/>
          <w:sz w:val="27"/>
          <w:szCs w:val="27"/>
        </w:rPr>
      </w:pPr>
      <w:bookmarkStart w:id="3" w:name="Requirements"/>
      <w:bookmarkStart w:id="4" w:name="_Toc334624218"/>
      <w:bookmarkEnd w:id="3"/>
      <w:r w:rsidRPr="001A0E35">
        <w:rPr>
          <w:rFonts w:asciiTheme="majorHAnsi" w:hAnsiTheme="majorHAnsi"/>
          <w:sz w:val="27"/>
          <w:szCs w:val="27"/>
        </w:rPr>
        <w:t>Computer and Data Requirements</w:t>
      </w:r>
      <w:bookmarkEnd w:id="4"/>
    </w:p>
    <w:p w:rsidR="00F22B20" w:rsidRDefault="00F22B20" w:rsidP="00F22B20">
      <w:pPr>
        <w:spacing w:after="240"/>
        <w:rPr>
          <w:rFonts w:ascii="Times New Roman" w:hAnsi="Times New Roman"/>
        </w:rPr>
      </w:pPr>
      <w:r w:rsidRPr="004365C4">
        <w:rPr>
          <w:rFonts w:ascii="Times New Roman" w:hAnsi="Times New Roman"/>
        </w:rPr>
        <w:t xml:space="preserve">To carry out this exercise, you need to have a computer, which </w:t>
      </w:r>
      <w:r>
        <w:rPr>
          <w:rFonts w:ascii="Times New Roman" w:hAnsi="Times New Roman"/>
        </w:rPr>
        <w:t xml:space="preserve">runs </w:t>
      </w:r>
      <w:r w:rsidR="00DE7493">
        <w:rPr>
          <w:rFonts w:ascii="Times New Roman" w:hAnsi="Times New Roman"/>
        </w:rPr>
        <w:t xml:space="preserve">ArcGIS version 10.5.  Version 10.4.1 should work fine also.  The data to be used for this exercise are </w:t>
      </w:r>
      <w:r w:rsidR="00355740">
        <w:rPr>
          <w:rFonts w:ascii="Times New Roman" w:hAnsi="Times New Roman"/>
        </w:rPr>
        <w:t xml:space="preserve">available in the Learn system for Ex5 and at: </w:t>
      </w:r>
      <w:hyperlink r:id="rId8" w:history="1">
        <w:r w:rsidR="00355740" w:rsidRPr="00D10542">
          <w:rPr>
            <w:rStyle w:val="Hyperlink"/>
            <w:rFonts w:ascii="Times New Roman" w:hAnsi="Times New Roman"/>
          </w:rPr>
          <w:t>http://www.caee.utexas.edu/prof/maidment/Canterbury/Ex5/Ex5Data.zip</w:t>
        </w:r>
      </w:hyperlink>
      <w:r w:rsidR="00355740">
        <w:rPr>
          <w:rFonts w:ascii="Times New Roman" w:hAnsi="Times New Roman"/>
        </w:rPr>
        <w:t xml:space="preserve"> They consist of two Excel files</w:t>
      </w:r>
      <w:r w:rsidR="002C40BC">
        <w:rPr>
          <w:rFonts w:ascii="Times New Roman" w:hAnsi="Times New Roman"/>
        </w:rPr>
        <w:t xml:space="preserve"> of Monitoring Well information</w:t>
      </w:r>
      <w:r w:rsidR="00355740">
        <w:rPr>
          <w:rFonts w:ascii="Times New Roman" w:hAnsi="Times New Roman"/>
        </w:rPr>
        <w:t xml:space="preserve"> and an ArcGIS shape file describing a Selwyn aquifer Modflow grid.</w:t>
      </w:r>
      <w:r w:rsidR="002C40BC">
        <w:rPr>
          <w:rFonts w:ascii="Times New Roman" w:hAnsi="Times New Roman"/>
        </w:rPr>
        <w:t xml:space="preserve">  The monitoring well data were provided by Fouad Alkhaier of Environment Canterbury and the Model Grid by Julian Weir of Aqualinc. Thanks Fouad and Julian!!</w:t>
      </w:r>
      <w:r w:rsidR="00682019">
        <w:rPr>
          <w:rFonts w:ascii="Times New Roman" w:hAnsi="Times New Roman"/>
        </w:rPr>
        <w:t xml:space="preserve">  Modflow is a standard US Geological Survey model used for simulating the flow in groundwater aquifers.</w:t>
      </w:r>
      <w:r w:rsidR="00682019" w:rsidRPr="00682019">
        <w:t xml:space="preserve"> </w:t>
      </w:r>
      <w:hyperlink r:id="rId9" w:history="1">
        <w:r w:rsidR="00682019" w:rsidRPr="00D934E9">
          <w:rPr>
            <w:rStyle w:val="Hyperlink"/>
            <w:rFonts w:ascii="Times New Roman" w:hAnsi="Times New Roman"/>
          </w:rPr>
          <w:t>https://water.usgs.gov/ogw/modflow/</w:t>
        </w:r>
      </w:hyperlink>
      <w:r w:rsidR="00682019">
        <w:rPr>
          <w:rFonts w:ascii="Times New Roman" w:hAnsi="Times New Roman"/>
        </w:rPr>
        <w:t xml:space="preserve">  You won’t actually run this model but instead use the data compiled to create the model to illustrate the nature of the Selwyn aquifer.</w:t>
      </w:r>
    </w:p>
    <w:p w:rsidR="00355740" w:rsidRDefault="00355740" w:rsidP="00F22B20">
      <w:pPr>
        <w:spacing w:after="240"/>
        <w:rPr>
          <w:rFonts w:ascii="Times New Roman" w:hAnsi="Times New Roman"/>
        </w:rPr>
      </w:pPr>
      <w:r>
        <w:rPr>
          <w:rFonts w:ascii="Times New Roman" w:hAnsi="Times New Roman"/>
          <w:noProof/>
        </w:rPr>
        <w:lastRenderedPageBreak/>
        <w:drawing>
          <wp:inline distT="0" distB="0" distL="0" distR="0">
            <wp:extent cx="4781867" cy="2642221"/>
            <wp:effectExtent l="19050" t="19050" r="19050"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87312" cy="2645230"/>
                    </a:xfrm>
                    <a:prstGeom prst="rect">
                      <a:avLst/>
                    </a:prstGeom>
                    <a:noFill/>
                    <a:ln w="3175">
                      <a:solidFill>
                        <a:schemeClr val="bg1">
                          <a:lumMod val="65000"/>
                        </a:schemeClr>
                      </a:solidFill>
                    </a:ln>
                  </pic:spPr>
                </pic:pic>
              </a:graphicData>
            </a:graphic>
          </wp:inline>
        </w:drawing>
      </w:r>
    </w:p>
    <w:p w:rsidR="00DE7493" w:rsidRPr="004365C4" w:rsidRDefault="00DE7493" w:rsidP="00F22B20">
      <w:pPr>
        <w:spacing w:after="240"/>
        <w:rPr>
          <w:rFonts w:ascii="Times New Roman" w:hAnsi="Times New Roman"/>
        </w:rPr>
      </w:pPr>
    </w:p>
    <w:p w:rsidR="00F22B20" w:rsidRPr="001A0E35" w:rsidRDefault="00F22B20">
      <w:pPr>
        <w:rPr>
          <w:rFonts w:asciiTheme="majorHAnsi" w:hAnsiTheme="majorHAnsi"/>
          <w:b/>
          <w:sz w:val="28"/>
          <w:szCs w:val="28"/>
        </w:rPr>
      </w:pPr>
      <w:r w:rsidRPr="001A0E35">
        <w:rPr>
          <w:rFonts w:asciiTheme="majorHAnsi" w:hAnsiTheme="majorHAnsi"/>
          <w:b/>
          <w:noProof/>
          <w:sz w:val="28"/>
          <w:szCs w:val="28"/>
        </w:rPr>
        <w:t>Procedure</w:t>
      </w:r>
    </w:p>
    <w:p w:rsidR="005530EC" w:rsidRPr="001E0DFA" w:rsidRDefault="00C8296B" w:rsidP="007E3419">
      <w:pPr>
        <w:pStyle w:val="ListParagraph"/>
        <w:numPr>
          <w:ilvl w:val="0"/>
          <w:numId w:val="1"/>
        </w:numPr>
        <w:rPr>
          <w:rFonts w:asciiTheme="majorHAnsi" w:hAnsiTheme="majorHAnsi"/>
          <w:b/>
          <w:noProof/>
          <w:sz w:val="28"/>
          <w:szCs w:val="28"/>
        </w:rPr>
      </w:pPr>
      <w:r w:rsidRPr="001E0DFA">
        <w:rPr>
          <w:rFonts w:asciiTheme="majorHAnsi" w:hAnsiTheme="majorHAnsi"/>
          <w:b/>
          <w:noProof/>
          <w:sz w:val="28"/>
          <w:szCs w:val="28"/>
        </w:rPr>
        <w:t>Map of Observation Wells</w:t>
      </w:r>
    </w:p>
    <w:p w:rsidR="00C8296B" w:rsidRDefault="00C8296B">
      <w:pPr>
        <w:rPr>
          <w:noProof/>
        </w:rPr>
      </w:pPr>
      <w:r>
        <w:rPr>
          <w:noProof/>
        </w:rPr>
        <w:t>Open ArcMap and add</w:t>
      </w:r>
      <w:r w:rsidR="004B4E22">
        <w:rPr>
          <w:noProof/>
        </w:rPr>
        <w:t xml:space="preserve"> Sheet1$ of</w:t>
      </w:r>
      <w:r>
        <w:rPr>
          <w:noProof/>
        </w:rPr>
        <w:t xml:space="preserve"> the </w:t>
      </w:r>
      <w:r w:rsidR="00CF3EA4" w:rsidRPr="00CF3EA4">
        <w:rPr>
          <w:b/>
          <w:noProof/>
        </w:rPr>
        <w:t>00_</w:t>
      </w:r>
      <w:r w:rsidRPr="004B4E22">
        <w:rPr>
          <w:b/>
          <w:noProof/>
        </w:rPr>
        <w:t>Monitoring_Bores.xlsx</w:t>
      </w:r>
      <w:r>
        <w:rPr>
          <w:noProof/>
        </w:rPr>
        <w:t xml:space="preserve"> spreadsheet to the map display</w:t>
      </w:r>
    </w:p>
    <w:p w:rsidR="00C8296B" w:rsidRDefault="00C8296B">
      <w:pPr>
        <w:rPr>
          <w:noProof/>
        </w:rPr>
      </w:pPr>
      <w:r>
        <w:rPr>
          <w:noProof/>
        </w:rPr>
        <w:drawing>
          <wp:inline distT="0" distB="0" distL="0" distR="0">
            <wp:extent cx="2514600" cy="1043305"/>
            <wp:effectExtent l="19050" t="19050" r="19050" b="234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4600" cy="1043305"/>
                    </a:xfrm>
                    <a:prstGeom prst="rect">
                      <a:avLst/>
                    </a:prstGeom>
                    <a:noFill/>
                    <a:ln w="3175">
                      <a:solidFill>
                        <a:schemeClr val="bg1">
                          <a:lumMod val="65000"/>
                        </a:schemeClr>
                      </a:solidFill>
                    </a:ln>
                  </pic:spPr>
                </pic:pic>
              </a:graphicData>
            </a:graphic>
          </wp:inline>
        </w:drawing>
      </w:r>
    </w:p>
    <w:p w:rsidR="004B4E22" w:rsidRDefault="004B4E22">
      <w:pPr>
        <w:rPr>
          <w:noProof/>
        </w:rPr>
      </w:pPr>
      <w:r>
        <w:rPr>
          <w:noProof/>
        </w:rPr>
        <w:t xml:space="preserve">Open the Attribute Table of this Spreadsheet and you’ll see a lot of details about these wells, at the end of which are the </w:t>
      </w:r>
      <w:r w:rsidRPr="00CF3EA4">
        <w:rPr>
          <w:b/>
          <w:noProof/>
        </w:rPr>
        <w:t>NZTMX</w:t>
      </w:r>
      <w:r>
        <w:rPr>
          <w:noProof/>
        </w:rPr>
        <w:t xml:space="preserve"> and </w:t>
      </w:r>
      <w:r w:rsidRPr="00CF3EA4">
        <w:rPr>
          <w:b/>
          <w:noProof/>
        </w:rPr>
        <w:t>NZTMY</w:t>
      </w:r>
      <w:r>
        <w:rPr>
          <w:noProof/>
        </w:rPr>
        <w:t xml:space="preserve"> attributes whic</w:t>
      </w:r>
      <w:r w:rsidR="00CF3EA4">
        <w:rPr>
          <w:noProof/>
        </w:rPr>
        <w:t>h show the location of the well in New Zealand Transverse Mercator coordinates.</w:t>
      </w:r>
    </w:p>
    <w:p w:rsidR="004B4E22" w:rsidRDefault="004B4E22">
      <w:pPr>
        <w:rPr>
          <w:noProof/>
        </w:rPr>
      </w:pPr>
      <w:r>
        <w:rPr>
          <w:noProof/>
        </w:rPr>
        <w:drawing>
          <wp:inline distT="0" distB="0" distL="0" distR="0" wp14:anchorId="5BA865CF" wp14:editId="70D2E2A5">
            <wp:extent cx="5943600" cy="1797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1797050"/>
                    </a:xfrm>
                    <a:prstGeom prst="rect">
                      <a:avLst/>
                    </a:prstGeom>
                  </pic:spPr>
                </pic:pic>
              </a:graphicData>
            </a:graphic>
          </wp:inline>
        </w:drawing>
      </w:r>
    </w:p>
    <w:p w:rsidR="004B4E22" w:rsidRDefault="004B4E22">
      <w:pPr>
        <w:rPr>
          <w:noProof/>
        </w:rPr>
      </w:pPr>
      <w:r>
        <w:rPr>
          <w:noProof/>
        </w:rPr>
        <w:t>Right click on this sprea</w:t>
      </w:r>
      <w:r w:rsidR="00AB5D51">
        <w:rPr>
          <w:noProof/>
        </w:rPr>
        <w:t xml:space="preserve">dsheet and select </w:t>
      </w:r>
      <w:r w:rsidR="00AB5D51" w:rsidRPr="00AB5D51">
        <w:rPr>
          <w:b/>
          <w:noProof/>
        </w:rPr>
        <w:t>Display XY Data</w:t>
      </w:r>
    </w:p>
    <w:p w:rsidR="00C8296B" w:rsidRDefault="004B4E22">
      <w:pPr>
        <w:rPr>
          <w:b/>
          <w:noProof/>
          <w:sz w:val="24"/>
          <w:szCs w:val="24"/>
        </w:rPr>
      </w:pPr>
      <w:r>
        <w:rPr>
          <w:b/>
          <w:noProof/>
          <w:sz w:val="24"/>
          <w:szCs w:val="24"/>
        </w:rPr>
        <w:lastRenderedPageBreak/>
        <w:drawing>
          <wp:inline distT="0" distB="0" distL="0" distR="0">
            <wp:extent cx="1709737" cy="2447700"/>
            <wp:effectExtent l="19050" t="19050" r="2413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2743" cy="2452003"/>
                    </a:xfrm>
                    <a:prstGeom prst="rect">
                      <a:avLst/>
                    </a:prstGeom>
                    <a:noFill/>
                    <a:ln w="3175">
                      <a:solidFill>
                        <a:schemeClr val="bg1">
                          <a:lumMod val="65000"/>
                        </a:schemeClr>
                      </a:solidFill>
                    </a:ln>
                  </pic:spPr>
                </pic:pic>
              </a:graphicData>
            </a:graphic>
          </wp:inline>
        </w:drawing>
      </w:r>
    </w:p>
    <w:p w:rsidR="006B213F" w:rsidRPr="006B213F" w:rsidRDefault="006B213F">
      <w:pPr>
        <w:rPr>
          <w:noProof/>
          <w:sz w:val="24"/>
          <w:szCs w:val="24"/>
        </w:rPr>
      </w:pPr>
      <w:r>
        <w:rPr>
          <w:noProof/>
          <w:sz w:val="24"/>
          <w:szCs w:val="24"/>
        </w:rPr>
        <w:t>Use NZTMX and NZTMY as the X and Y fields</w:t>
      </w:r>
    </w:p>
    <w:p w:rsidR="00AB5D51" w:rsidRDefault="006B213F">
      <w:pPr>
        <w:rPr>
          <w:b/>
          <w:noProof/>
          <w:sz w:val="24"/>
          <w:szCs w:val="24"/>
        </w:rPr>
      </w:pPr>
      <w:r>
        <w:rPr>
          <w:b/>
          <w:noProof/>
          <w:sz w:val="24"/>
          <w:szCs w:val="24"/>
        </w:rPr>
        <w:drawing>
          <wp:inline distT="0" distB="0" distL="0" distR="0">
            <wp:extent cx="3224530" cy="3409950"/>
            <wp:effectExtent l="19050" t="19050" r="1397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24530" cy="3409950"/>
                    </a:xfrm>
                    <a:prstGeom prst="rect">
                      <a:avLst/>
                    </a:prstGeom>
                    <a:noFill/>
                    <a:ln w="3175">
                      <a:solidFill>
                        <a:schemeClr val="bg1">
                          <a:lumMod val="65000"/>
                        </a:schemeClr>
                      </a:solidFill>
                    </a:ln>
                  </pic:spPr>
                </pic:pic>
              </a:graphicData>
            </a:graphic>
          </wp:inline>
        </w:drawing>
      </w:r>
    </w:p>
    <w:p w:rsidR="009562B8" w:rsidRPr="009562B8" w:rsidRDefault="009562B8">
      <w:pPr>
        <w:rPr>
          <w:noProof/>
          <w:sz w:val="24"/>
          <w:szCs w:val="24"/>
        </w:rPr>
      </w:pPr>
      <w:r>
        <w:rPr>
          <w:noProof/>
          <w:sz w:val="24"/>
          <w:szCs w:val="24"/>
        </w:rPr>
        <w:t xml:space="preserve">You’ll see a lot of dots appear in the map display and you can see where they are located if you add the </w:t>
      </w:r>
      <w:r w:rsidRPr="009562B8">
        <w:rPr>
          <w:b/>
          <w:noProof/>
          <w:sz w:val="24"/>
          <w:szCs w:val="24"/>
        </w:rPr>
        <w:t>NZ Community Map</w:t>
      </w:r>
      <w:r>
        <w:rPr>
          <w:noProof/>
          <w:sz w:val="24"/>
          <w:szCs w:val="24"/>
        </w:rPr>
        <w:t xml:space="preserve"> as your Basemap.</w:t>
      </w:r>
    </w:p>
    <w:p w:rsidR="006B213F" w:rsidRDefault="009562B8">
      <w:pPr>
        <w:rPr>
          <w:b/>
          <w:noProof/>
          <w:sz w:val="24"/>
          <w:szCs w:val="24"/>
        </w:rPr>
      </w:pPr>
      <w:r>
        <w:rPr>
          <w:b/>
          <w:noProof/>
          <w:sz w:val="24"/>
          <w:szCs w:val="24"/>
        </w:rPr>
        <w:lastRenderedPageBreak/>
        <w:drawing>
          <wp:inline distT="0" distB="0" distL="0" distR="0">
            <wp:extent cx="5939155" cy="3986530"/>
            <wp:effectExtent l="19050" t="19050" r="23495"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155" cy="3986530"/>
                    </a:xfrm>
                    <a:prstGeom prst="rect">
                      <a:avLst/>
                    </a:prstGeom>
                    <a:noFill/>
                    <a:ln w="3175">
                      <a:solidFill>
                        <a:schemeClr val="bg1">
                          <a:lumMod val="65000"/>
                        </a:schemeClr>
                      </a:solidFill>
                    </a:ln>
                  </pic:spPr>
                </pic:pic>
              </a:graphicData>
            </a:graphic>
          </wp:inline>
        </w:drawing>
      </w:r>
    </w:p>
    <w:p w:rsidR="009562B8" w:rsidRDefault="009562B8">
      <w:pPr>
        <w:rPr>
          <w:noProof/>
          <w:sz w:val="24"/>
          <w:szCs w:val="24"/>
        </w:rPr>
      </w:pPr>
      <w:r>
        <w:rPr>
          <w:noProof/>
          <w:sz w:val="24"/>
          <w:szCs w:val="24"/>
        </w:rPr>
        <w:t xml:space="preserve">Click on the </w:t>
      </w:r>
      <w:r w:rsidRPr="009562B8">
        <w:rPr>
          <w:b/>
          <w:noProof/>
          <w:sz w:val="24"/>
          <w:szCs w:val="24"/>
        </w:rPr>
        <w:t>Catalog</w:t>
      </w:r>
      <w:r>
        <w:rPr>
          <w:noProof/>
          <w:sz w:val="24"/>
          <w:szCs w:val="24"/>
        </w:rPr>
        <w:t xml:space="preserve"> tab at the top right of the ArcMap display and establish a </w:t>
      </w:r>
      <w:r w:rsidRPr="001361AB">
        <w:rPr>
          <w:b/>
          <w:noProof/>
          <w:sz w:val="24"/>
          <w:szCs w:val="24"/>
        </w:rPr>
        <w:t>New File Geodatabase</w:t>
      </w:r>
      <w:r>
        <w:rPr>
          <w:noProof/>
          <w:sz w:val="24"/>
          <w:szCs w:val="24"/>
        </w:rPr>
        <w:t xml:space="preserve"> in the folder you are using to store </w:t>
      </w:r>
      <w:r w:rsidR="001361AB">
        <w:rPr>
          <w:noProof/>
          <w:sz w:val="24"/>
          <w:szCs w:val="24"/>
        </w:rPr>
        <w:t>your data in for this exercise.</w:t>
      </w:r>
    </w:p>
    <w:p w:rsidR="009562B8" w:rsidRDefault="009562B8">
      <w:pPr>
        <w:rPr>
          <w:noProof/>
          <w:sz w:val="24"/>
          <w:szCs w:val="24"/>
        </w:rPr>
      </w:pPr>
      <w:r>
        <w:rPr>
          <w:noProof/>
          <w:sz w:val="24"/>
          <w:szCs w:val="24"/>
        </w:rPr>
        <w:drawing>
          <wp:inline distT="0" distB="0" distL="0" distR="0">
            <wp:extent cx="3443605" cy="1976755"/>
            <wp:effectExtent l="19050" t="19050" r="23495"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43605" cy="1976755"/>
                    </a:xfrm>
                    <a:prstGeom prst="rect">
                      <a:avLst/>
                    </a:prstGeom>
                    <a:noFill/>
                    <a:ln w="3175">
                      <a:solidFill>
                        <a:schemeClr val="bg1">
                          <a:lumMod val="65000"/>
                        </a:schemeClr>
                      </a:solidFill>
                    </a:ln>
                  </pic:spPr>
                </pic:pic>
              </a:graphicData>
            </a:graphic>
          </wp:inline>
        </w:drawing>
      </w:r>
    </w:p>
    <w:p w:rsidR="001361AB" w:rsidRDefault="001361AB">
      <w:pPr>
        <w:rPr>
          <w:noProof/>
          <w:sz w:val="24"/>
          <w:szCs w:val="24"/>
        </w:rPr>
      </w:pPr>
      <w:r>
        <w:rPr>
          <w:noProof/>
          <w:sz w:val="24"/>
          <w:szCs w:val="24"/>
        </w:rPr>
        <w:t xml:space="preserve">and let’s call this </w:t>
      </w:r>
      <w:r w:rsidRPr="001361AB">
        <w:rPr>
          <w:b/>
          <w:noProof/>
          <w:sz w:val="24"/>
          <w:szCs w:val="24"/>
        </w:rPr>
        <w:t>Canterbury</w:t>
      </w:r>
      <w:r>
        <w:rPr>
          <w:b/>
          <w:noProof/>
          <w:sz w:val="24"/>
          <w:szCs w:val="24"/>
        </w:rPr>
        <w:t xml:space="preserve">.  </w:t>
      </w:r>
      <w:r>
        <w:rPr>
          <w:noProof/>
          <w:sz w:val="24"/>
          <w:szCs w:val="24"/>
        </w:rPr>
        <w:t xml:space="preserve">Within this establish a new Feature Dataset called </w:t>
      </w:r>
      <w:r w:rsidRPr="001361AB">
        <w:rPr>
          <w:b/>
          <w:noProof/>
          <w:sz w:val="24"/>
          <w:szCs w:val="24"/>
        </w:rPr>
        <w:t>Groundwater</w:t>
      </w:r>
      <w:r>
        <w:rPr>
          <w:noProof/>
          <w:sz w:val="24"/>
          <w:szCs w:val="24"/>
        </w:rPr>
        <w:t xml:space="preserve"> </w:t>
      </w:r>
      <w:r w:rsidR="007B61E3">
        <w:rPr>
          <w:noProof/>
          <w:sz w:val="24"/>
          <w:szCs w:val="24"/>
        </w:rPr>
        <w:t>with</w:t>
      </w:r>
      <w:r w:rsidR="007B61E3">
        <w:rPr>
          <w:noProof/>
          <w:sz w:val="24"/>
          <w:szCs w:val="24"/>
        </w:rPr>
        <w:drawing>
          <wp:inline distT="0" distB="0" distL="0" distR="0">
            <wp:extent cx="2762250" cy="247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62250" cy="247650"/>
                    </a:xfrm>
                    <a:prstGeom prst="rect">
                      <a:avLst/>
                    </a:prstGeom>
                    <a:noFill/>
                    <a:ln>
                      <a:noFill/>
                    </a:ln>
                  </pic:spPr>
                </pic:pic>
              </a:graphicData>
            </a:graphic>
          </wp:inline>
        </w:drawing>
      </w:r>
      <w:r w:rsidR="007B61E3">
        <w:rPr>
          <w:noProof/>
          <w:sz w:val="24"/>
          <w:szCs w:val="24"/>
        </w:rPr>
        <w:t xml:space="preserve">as the horizontal coordinate system and </w:t>
      </w:r>
      <w:r w:rsidR="007B61E3" w:rsidRPr="007B61E3">
        <w:rPr>
          <w:b/>
          <w:noProof/>
          <w:sz w:val="24"/>
          <w:szCs w:val="24"/>
        </w:rPr>
        <w:t>NZVD2009</w:t>
      </w:r>
      <w:r w:rsidR="007B61E3">
        <w:rPr>
          <w:noProof/>
          <w:sz w:val="24"/>
          <w:szCs w:val="24"/>
        </w:rPr>
        <w:t xml:space="preserve"> as the vertical coordinate system.</w:t>
      </w:r>
    </w:p>
    <w:p w:rsidR="001361AB" w:rsidRPr="001361AB" w:rsidRDefault="001361AB">
      <w:pPr>
        <w:rPr>
          <w:noProof/>
          <w:sz w:val="24"/>
          <w:szCs w:val="24"/>
        </w:rPr>
      </w:pPr>
      <w:r>
        <w:rPr>
          <w:noProof/>
          <w:sz w:val="24"/>
          <w:szCs w:val="24"/>
        </w:rPr>
        <w:lastRenderedPageBreak/>
        <w:drawing>
          <wp:inline distT="0" distB="0" distL="0" distR="0">
            <wp:extent cx="4067175" cy="248602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67175" cy="2486025"/>
                    </a:xfrm>
                    <a:prstGeom prst="rect">
                      <a:avLst/>
                    </a:prstGeom>
                    <a:noFill/>
                    <a:ln w="3175">
                      <a:solidFill>
                        <a:schemeClr val="bg1">
                          <a:lumMod val="65000"/>
                        </a:schemeClr>
                      </a:solidFill>
                    </a:ln>
                  </pic:spPr>
                </pic:pic>
              </a:graphicData>
            </a:graphic>
          </wp:inline>
        </w:drawing>
      </w:r>
    </w:p>
    <w:p w:rsidR="00C8296B" w:rsidRDefault="00EE04FA">
      <w:pPr>
        <w:rPr>
          <w:noProof/>
          <w:sz w:val="24"/>
          <w:szCs w:val="24"/>
        </w:rPr>
      </w:pPr>
      <w:r>
        <w:rPr>
          <w:noProof/>
          <w:sz w:val="24"/>
          <w:szCs w:val="24"/>
        </w:rPr>
        <w:t xml:space="preserve">Right Click on the Event feature class and export it to the </w:t>
      </w:r>
      <w:r w:rsidRPr="00EE04FA">
        <w:rPr>
          <w:b/>
          <w:noProof/>
          <w:sz w:val="24"/>
          <w:szCs w:val="24"/>
        </w:rPr>
        <w:t>Groundwater</w:t>
      </w:r>
      <w:r>
        <w:rPr>
          <w:noProof/>
          <w:sz w:val="24"/>
          <w:szCs w:val="24"/>
        </w:rPr>
        <w:t xml:space="preserve"> Feature Data Set as a new feature class called </w:t>
      </w:r>
      <w:r w:rsidRPr="00EE04FA">
        <w:rPr>
          <w:b/>
          <w:noProof/>
          <w:sz w:val="24"/>
          <w:szCs w:val="24"/>
        </w:rPr>
        <w:t>Wells</w:t>
      </w:r>
      <w:r>
        <w:rPr>
          <w:noProof/>
          <w:sz w:val="24"/>
          <w:szCs w:val="24"/>
        </w:rPr>
        <w:t>.</w:t>
      </w:r>
    </w:p>
    <w:p w:rsidR="00EE04FA" w:rsidRDefault="00EE04FA">
      <w:pPr>
        <w:rPr>
          <w:noProof/>
          <w:sz w:val="24"/>
          <w:szCs w:val="24"/>
        </w:rPr>
      </w:pPr>
      <w:r>
        <w:rPr>
          <w:noProof/>
          <w:sz w:val="24"/>
          <w:szCs w:val="24"/>
        </w:rPr>
        <w:drawing>
          <wp:inline distT="0" distB="0" distL="0" distR="0">
            <wp:extent cx="3905250" cy="3846107"/>
            <wp:effectExtent l="19050" t="19050" r="1905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5819" cy="3856515"/>
                    </a:xfrm>
                    <a:prstGeom prst="rect">
                      <a:avLst/>
                    </a:prstGeom>
                    <a:noFill/>
                    <a:ln w="3175">
                      <a:solidFill>
                        <a:schemeClr val="bg1">
                          <a:lumMod val="65000"/>
                        </a:schemeClr>
                      </a:solidFill>
                    </a:ln>
                  </pic:spPr>
                </pic:pic>
              </a:graphicData>
            </a:graphic>
          </wp:inline>
        </w:drawing>
      </w:r>
    </w:p>
    <w:p w:rsidR="00F22B20" w:rsidRDefault="00F22B20">
      <w:pPr>
        <w:rPr>
          <w:noProof/>
          <w:sz w:val="24"/>
          <w:szCs w:val="24"/>
        </w:rPr>
      </w:pPr>
      <w:r>
        <w:rPr>
          <w:noProof/>
          <w:sz w:val="24"/>
          <w:szCs w:val="24"/>
        </w:rPr>
        <w:t xml:space="preserve">Label the Wells feature class with </w:t>
      </w:r>
      <w:r w:rsidRPr="00F22B20">
        <w:rPr>
          <w:b/>
          <w:noProof/>
          <w:sz w:val="24"/>
          <w:szCs w:val="24"/>
        </w:rPr>
        <w:t>Well_No</w:t>
      </w:r>
      <w:r>
        <w:rPr>
          <w:noProof/>
          <w:sz w:val="24"/>
          <w:szCs w:val="24"/>
        </w:rPr>
        <w:t xml:space="preserve"> as the descriptor</w:t>
      </w:r>
    </w:p>
    <w:p w:rsidR="00F22B20" w:rsidRDefault="00F22B20">
      <w:pPr>
        <w:rPr>
          <w:noProof/>
          <w:sz w:val="24"/>
          <w:szCs w:val="24"/>
        </w:rPr>
      </w:pPr>
      <w:r>
        <w:rPr>
          <w:noProof/>
          <w:sz w:val="24"/>
          <w:szCs w:val="24"/>
        </w:rPr>
        <w:lastRenderedPageBreak/>
        <w:drawing>
          <wp:inline distT="0" distB="0" distL="0" distR="0">
            <wp:extent cx="5158105" cy="1419225"/>
            <wp:effectExtent l="19050" t="19050" r="2349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58105" cy="1419225"/>
                    </a:xfrm>
                    <a:prstGeom prst="rect">
                      <a:avLst/>
                    </a:prstGeom>
                    <a:noFill/>
                    <a:ln w="3175">
                      <a:solidFill>
                        <a:schemeClr val="bg1">
                          <a:lumMod val="65000"/>
                        </a:schemeClr>
                      </a:solidFill>
                    </a:ln>
                  </pic:spPr>
                </pic:pic>
              </a:graphicData>
            </a:graphic>
          </wp:inline>
        </w:drawing>
      </w:r>
    </w:p>
    <w:p w:rsidR="00F22B20" w:rsidRDefault="00F22B20">
      <w:pPr>
        <w:rPr>
          <w:noProof/>
          <w:sz w:val="24"/>
          <w:szCs w:val="24"/>
        </w:rPr>
      </w:pPr>
    </w:p>
    <w:p w:rsidR="00F22B20" w:rsidRDefault="00EE04FA">
      <w:pPr>
        <w:rPr>
          <w:noProof/>
          <w:sz w:val="24"/>
          <w:szCs w:val="24"/>
        </w:rPr>
      </w:pPr>
      <w:r>
        <w:rPr>
          <w:noProof/>
          <w:sz w:val="24"/>
          <w:szCs w:val="24"/>
        </w:rPr>
        <w:drawing>
          <wp:inline distT="0" distB="0" distL="0" distR="0">
            <wp:extent cx="5135738" cy="3271838"/>
            <wp:effectExtent l="19050" t="19050" r="27305"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38509" cy="3273603"/>
                    </a:xfrm>
                    <a:prstGeom prst="rect">
                      <a:avLst/>
                    </a:prstGeom>
                    <a:noFill/>
                    <a:ln w="3175">
                      <a:solidFill>
                        <a:schemeClr val="bg1">
                          <a:lumMod val="65000"/>
                        </a:schemeClr>
                      </a:solidFill>
                    </a:ln>
                  </pic:spPr>
                </pic:pic>
              </a:graphicData>
            </a:graphic>
          </wp:inline>
        </w:drawing>
      </w:r>
    </w:p>
    <w:p w:rsidR="00126D23" w:rsidRPr="00580A37" w:rsidRDefault="00126D23" w:rsidP="00126D23">
      <w:pPr>
        <w:rPr>
          <w:b/>
        </w:rPr>
      </w:pPr>
      <w:r w:rsidRPr="00580A37">
        <w:t>Save your map display as</w:t>
      </w:r>
      <w:r w:rsidRPr="00580A37">
        <w:rPr>
          <w:b/>
        </w:rPr>
        <w:t xml:space="preserve"> Ex5.mxd </w:t>
      </w:r>
    </w:p>
    <w:p w:rsidR="00126D23" w:rsidRDefault="00126D23">
      <w:pPr>
        <w:rPr>
          <w:i/>
        </w:rPr>
      </w:pPr>
      <w:r w:rsidRPr="00580A37">
        <w:rPr>
          <w:i/>
        </w:rPr>
        <w:t>To be Turned in: A map of the observation wells over the Selwyn aquifer. How many wells are there?  How many observations have been made at these wells (Hint: Use the Reading_Count attribute).  What is the average number of observations per well in the region?</w:t>
      </w:r>
    </w:p>
    <w:p w:rsidR="001717FF" w:rsidRDefault="001717FF">
      <w:pPr>
        <w:rPr>
          <w:i/>
        </w:rPr>
      </w:pPr>
    </w:p>
    <w:p w:rsidR="001717FF" w:rsidRDefault="001717FF">
      <w:pPr>
        <w:rPr>
          <w:i/>
        </w:rPr>
      </w:pPr>
    </w:p>
    <w:p w:rsidR="001717FF" w:rsidRDefault="001717FF">
      <w:pPr>
        <w:rPr>
          <w:i/>
        </w:rPr>
      </w:pPr>
    </w:p>
    <w:p w:rsidR="001717FF" w:rsidRDefault="001717FF">
      <w:pPr>
        <w:rPr>
          <w:i/>
        </w:rPr>
      </w:pPr>
    </w:p>
    <w:p w:rsidR="001717FF" w:rsidRDefault="001717FF">
      <w:pPr>
        <w:rPr>
          <w:i/>
        </w:rPr>
      </w:pPr>
    </w:p>
    <w:p w:rsidR="001717FF" w:rsidRDefault="001717FF">
      <w:pPr>
        <w:rPr>
          <w:i/>
        </w:rPr>
      </w:pPr>
    </w:p>
    <w:p w:rsidR="001717FF" w:rsidRPr="00126D23" w:rsidRDefault="001717FF">
      <w:pPr>
        <w:rPr>
          <w:i/>
        </w:rPr>
      </w:pPr>
    </w:p>
    <w:p w:rsidR="005530EC" w:rsidRPr="001E0DFA" w:rsidRDefault="005530EC" w:rsidP="007E3419">
      <w:pPr>
        <w:pStyle w:val="ListParagraph"/>
        <w:numPr>
          <w:ilvl w:val="0"/>
          <w:numId w:val="1"/>
        </w:numPr>
        <w:rPr>
          <w:rFonts w:asciiTheme="majorHAnsi" w:hAnsiTheme="majorHAnsi"/>
          <w:b/>
          <w:noProof/>
          <w:sz w:val="28"/>
          <w:szCs w:val="28"/>
        </w:rPr>
      </w:pPr>
      <w:r w:rsidRPr="001E0DFA">
        <w:rPr>
          <w:rFonts w:asciiTheme="majorHAnsi" w:hAnsiTheme="majorHAnsi"/>
          <w:b/>
          <w:noProof/>
          <w:sz w:val="28"/>
          <w:szCs w:val="28"/>
        </w:rPr>
        <w:lastRenderedPageBreak/>
        <w:t>Story of a Well</w:t>
      </w:r>
    </w:p>
    <w:p w:rsidR="005530EC" w:rsidRPr="005530EC" w:rsidRDefault="005530EC">
      <w:pPr>
        <w:rPr>
          <w:noProof/>
        </w:rPr>
      </w:pPr>
      <w:r>
        <w:rPr>
          <w:noProof/>
        </w:rPr>
        <w:t xml:space="preserve">Let’s zoom in to Highway 1 just south of Burnham and choose well </w:t>
      </w:r>
      <w:r w:rsidRPr="005530EC">
        <w:rPr>
          <w:b/>
          <w:noProof/>
        </w:rPr>
        <w:t>L36/2175</w:t>
      </w:r>
      <w:r>
        <w:rPr>
          <w:b/>
          <w:noProof/>
        </w:rPr>
        <w:t>.</w:t>
      </w:r>
      <w:r>
        <w:rPr>
          <w:noProof/>
        </w:rPr>
        <w:t xml:space="preserve"> </w:t>
      </w:r>
    </w:p>
    <w:p w:rsidR="00E60E3B" w:rsidRDefault="007627E7">
      <w:r>
        <w:rPr>
          <w:noProof/>
        </w:rPr>
        <w:drawing>
          <wp:inline distT="0" distB="0" distL="0" distR="0">
            <wp:extent cx="4177030" cy="3038233"/>
            <wp:effectExtent l="19050" t="19050" r="1397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82144" cy="3041952"/>
                    </a:xfrm>
                    <a:prstGeom prst="rect">
                      <a:avLst/>
                    </a:prstGeom>
                    <a:noFill/>
                    <a:ln w="3175">
                      <a:solidFill>
                        <a:schemeClr val="bg1">
                          <a:lumMod val="65000"/>
                        </a:schemeClr>
                      </a:solidFill>
                    </a:ln>
                  </pic:spPr>
                </pic:pic>
              </a:graphicData>
            </a:graphic>
          </wp:inline>
        </w:drawing>
      </w:r>
    </w:p>
    <w:p w:rsidR="005530EC" w:rsidRDefault="005530EC">
      <w:r>
        <w:t xml:space="preserve">If we query the attributes of this well, we can see that it was drilled on 23 April 2007. Its </w:t>
      </w:r>
      <w:r w:rsidR="00EF60D6">
        <w:t xml:space="preserve">horizontal </w:t>
      </w:r>
      <w:r>
        <w:t>coordinates are</w:t>
      </w:r>
    </w:p>
    <w:p w:rsidR="005530EC" w:rsidRDefault="005530EC">
      <w:r>
        <w:t>UTMX = 1537887 m</w:t>
      </w:r>
    </w:p>
    <w:p w:rsidR="005530EC" w:rsidRDefault="005530EC">
      <w:r>
        <w:t>UTMY = 5167030 m</w:t>
      </w:r>
    </w:p>
    <w:p w:rsidR="005530EC" w:rsidRDefault="00EF60D6">
      <w:r>
        <w:t xml:space="preserve">and its </w:t>
      </w:r>
      <w:r w:rsidR="005530EC">
        <w:t>Reference level</w:t>
      </w:r>
      <w:r>
        <w:t xml:space="preserve"> (top of the well pipe)</w:t>
      </w:r>
      <w:r w:rsidR="005530EC">
        <w:t xml:space="preserve"> = 67.25m above geodetic datum (Vertical coordinate system)</w:t>
      </w:r>
    </w:p>
    <w:p w:rsidR="00EF60D6" w:rsidRDefault="00EF60D6">
      <w:r>
        <w:t>The well diameter is 150 mm</w:t>
      </w:r>
    </w:p>
    <w:p w:rsidR="00EF60D6" w:rsidRDefault="00EF60D6">
      <w:r>
        <w:t>Measurements have b</w:t>
      </w:r>
      <w:r w:rsidR="00CF3EA4">
        <w:t>een made since 17 May 2007 and since</w:t>
      </w:r>
      <w:r>
        <w:t xml:space="preserve"> that time 407 water level measurements have been made for this well which vary in water elevation between -1.39m and -13.356m below the top of the well.</w:t>
      </w:r>
    </w:p>
    <w:p w:rsidR="00EF60D6" w:rsidRDefault="00EF60D6"/>
    <w:p w:rsidR="005530EC" w:rsidRDefault="005530EC">
      <w:r>
        <w:rPr>
          <w:noProof/>
        </w:rPr>
        <w:lastRenderedPageBreak/>
        <w:drawing>
          <wp:inline distT="0" distB="0" distL="0" distR="0">
            <wp:extent cx="3786505" cy="3167380"/>
            <wp:effectExtent l="19050" t="19050" r="23495"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6505" cy="3167380"/>
                    </a:xfrm>
                    <a:prstGeom prst="rect">
                      <a:avLst/>
                    </a:prstGeom>
                    <a:noFill/>
                    <a:ln w="3175">
                      <a:solidFill>
                        <a:schemeClr val="bg1">
                          <a:lumMod val="65000"/>
                        </a:schemeClr>
                      </a:solidFill>
                    </a:ln>
                  </pic:spPr>
                </pic:pic>
              </a:graphicData>
            </a:graphic>
          </wp:inline>
        </w:drawing>
      </w:r>
    </w:p>
    <w:p w:rsidR="0064507B" w:rsidRDefault="0064507B"/>
    <w:p w:rsidR="00580A37" w:rsidRDefault="003B4D0D">
      <w:r>
        <w:t xml:space="preserve">Use the </w:t>
      </w:r>
      <w:r w:rsidRPr="003B4D0D">
        <w:rPr>
          <w:b/>
        </w:rPr>
        <w:t>Select</w:t>
      </w:r>
      <w:r>
        <w:t xml:space="preserve"> tool </w:t>
      </w:r>
      <w:r>
        <w:rPr>
          <w:noProof/>
        </w:rPr>
        <w:drawing>
          <wp:inline distT="0" distB="0" distL="0" distR="0">
            <wp:extent cx="986155" cy="1357630"/>
            <wp:effectExtent l="19050" t="19050" r="23495"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86155" cy="1357630"/>
                    </a:xfrm>
                    <a:prstGeom prst="rect">
                      <a:avLst/>
                    </a:prstGeom>
                    <a:noFill/>
                    <a:ln w="3175">
                      <a:solidFill>
                        <a:schemeClr val="bg1">
                          <a:lumMod val="65000"/>
                        </a:schemeClr>
                      </a:solidFill>
                    </a:ln>
                  </pic:spPr>
                </pic:pic>
              </a:graphicData>
            </a:graphic>
          </wp:inline>
        </w:drawing>
      </w:r>
      <w:r>
        <w:t xml:space="preserve"> to select Well feature L36/2175 and export it </w:t>
      </w:r>
      <w:r w:rsidR="00580A37">
        <w:t xml:space="preserve">to a new feature class called </w:t>
      </w:r>
      <w:r w:rsidR="00580A37" w:rsidRPr="00580A37">
        <w:rPr>
          <w:b/>
        </w:rPr>
        <w:t>SelectWell</w:t>
      </w:r>
      <w:r w:rsidR="00580A37">
        <w:t xml:space="preserve"> and add it to the map display in ArcMap.</w:t>
      </w:r>
    </w:p>
    <w:p w:rsidR="00C3612C" w:rsidRDefault="00C3612C">
      <w:r>
        <w:rPr>
          <w:noProof/>
        </w:rPr>
        <w:lastRenderedPageBreak/>
        <w:drawing>
          <wp:inline distT="0" distB="0" distL="0" distR="0" wp14:anchorId="6A3CEF5C" wp14:editId="3EB79834">
            <wp:extent cx="4948555" cy="4562475"/>
            <wp:effectExtent l="19050" t="19050" r="2349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48555" cy="4562475"/>
                    </a:xfrm>
                    <a:prstGeom prst="rect">
                      <a:avLst/>
                    </a:prstGeom>
                    <a:noFill/>
                    <a:ln w="3175">
                      <a:solidFill>
                        <a:schemeClr val="bg1">
                          <a:lumMod val="65000"/>
                        </a:schemeClr>
                      </a:solidFill>
                    </a:ln>
                  </pic:spPr>
                </pic:pic>
              </a:graphicData>
            </a:graphic>
          </wp:inline>
        </w:drawing>
      </w:r>
    </w:p>
    <w:p w:rsidR="00C3612C" w:rsidRDefault="00C3612C"/>
    <w:p w:rsidR="00C3612C" w:rsidRDefault="00C3612C">
      <w:r>
        <w:rPr>
          <w:noProof/>
        </w:rPr>
        <w:drawing>
          <wp:inline distT="0" distB="0" distL="0" distR="0">
            <wp:extent cx="5181600" cy="289560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81600" cy="2895600"/>
                    </a:xfrm>
                    <a:prstGeom prst="rect">
                      <a:avLst/>
                    </a:prstGeom>
                    <a:noFill/>
                    <a:ln w="3175">
                      <a:solidFill>
                        <a:schemeClr val="bg1">
                          <a:lumMod val="65000"/>
                        </a:schemeClr>
                      </a:solidFill>
                    </a:ln>
                  </pic:spPr>
                </pic:pic>
              </a:graphicData>
            </a:graphic>
          </wp:inline>
        </w:drawing>
      </w:r>
    </w:p>
    <w:p w:rsidR="00407167" w:rsidRDefault="00407167"/>
    <w:p w:rsidR="00580A37" w:rsidRDefault="00580A37"/>
    <w:p w:rsidR="007627E7" w:rsidRDefault="00CF1782">
      <w:r>
        <w:t xml:space="preserve">To find more descriptive information about this well, go to the web site </w:t>
      </w:r>
      <w:hyperlink r:id="rId27" w:history="1">
        <w:r w:rsidRPr="00251139">
          <w:rPr>
            <w:rStyle w:val="Hyperlink"/>
          </w:rPr>
          <w:t>https://www.ecan.govt.nz/data/well-search/</w:t>
        </w:r>
      </w:hyperlink>
      <w:r>
        <w:t xml:space="preserve"> </w:t>
      </w:r>
    </w:p>
    <w:p w:rsidR="00CF1782" w:rsidRDefault="00CF1782">
      <w:r>
        <w:t>and put in L36/2175 as the well number</w:t>
      </w:r>
    </w:p>
    <w:p w:rsidR="00CF1782" w:rsidRDefault="00CF1782">
      <w:r>
        <w:rPr>
          <w:noProof/>
        </w:rPr>
        <w:drawing>
          <wp:inline distT="0" distB="0" distL="0" distR="0">
            <wp:extent cx="3291205" cy="2998544"/>
            <wp:effectExtent l="19050" t="19050" r="2349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92186" cy="2999438"/>
                    </a:xfrm>
                    <a:prstGeom prst="rect">
                      <a:avLst/>
                    </a:prstGeom>
                    <a:noFill/>
                    <a:ln w="3175">
                      <a:solidFill>
                        <a:schemeClr val="bg1">
                          <a:lumMod val="65000"/>
                        </a:schemeClr>
                      </a:solidFill>
                    </a:ln>
                  </pic:spPr>
                </pic:pic>
              </a:graphicData>
            </a:graphic>
          </wp:inline>
        </w:drawing>
      </w:r>
    </w:p>
    <w:p w:rsidR="00CF1782" w:rsidRDefault="00CF3EA4">
      <w:r>
        <w:t>Y</w:t>
      </w:r>
      <w:r w:rsidR="00CF1782">
        <w:t xml:space="preserve">ou’ll see one record selected, and indication that this well is in the </w:t>
      </w:r>
      <w:r w:rsidR="00CF1782" w:rsidRPr="00CF1782">
        <w:rPr>
          <w:b/>
        </w:rPr>
        <w:t>Water Level Monitoring Network</w:t>
      </w:r>
      <w:r w:rsidR="00CF1782">
        <w:t>, which means that its purpose is to observe water levels not to supply pumped water.</w:t>
      </w:r>
      <w:r w:rsidR="000410D2">
        <w:t xml:space="preserve">  Click on the well number and you’ll see a category for Bore Log</w:t>
      </w:r>
      <w:r w:rsidR="000410D2">
        <w:rPr>
          <w:noProof/>
        </w:rPr>
        <w:drawing>
          <wp:inline distT="0" distB="0" distL="0" distR="0">
            <wp:extent cx="4500880" cy="1529080"/>
            <wp:effectExtent l="19050" t="19050" r="13970"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0880" cy="1529080"/>
                    </a:xfrm>
                    <a:prstGeom prst="rect">
                      <a:avLst/>
                    </a:prstGeom>
                    <a:noFill/>
                    <a:ln w="3175">
                      <a:solidFill>
                        <a:schemeClr val="bg1">
                          <a:lumMod val="65000"/>
                        </a:schemeClr>
                      </a:solidFill>
                    </a:ln>
                  </pic:spPr>
                </pic:pic>
              </a:graphicData>
            </a:graphic>
          </wp:inline>
        </w:drawing>
      </w:r>
    </w:p>
    <w:p w:rsidR="00CF1782" w:rsidRDefault="000410D2">
      <w:r>
        <w:t>This provides details of the geological strata encountered as the well was drilled, the depth of the well, and where it is screen to permit water entry (at the bottom).</w:t>
      </w:r>
    </w:p>
    <w:tbl>
      <w:tblPr>
        <w:tblStyle w:val="TableGrid"/>
        <w:tblW w:w="0" w:type="auto"/>
        <w:tblLook w:val="04A0" w:firstRow="1" w:lastRow="0" w:firstColumn="1" w:lastColumn="0" w:noHBand="0" w:noVBand="1"/>
      </w:tblPr>
      <w:tblGrid>
        <w:gridCol w:w="6332"/>
        <w:gridCol w:w="3018"/>
      </w:tblGrid>
      <w:tr w:rsidR="00C5039C" w:rsidTr="00C5039C">
        <w:tc>
          <w:tcPr>
            <w:tcW w:w="4675" w:type="dxa"/>
          </w:tcPr>
          <w:p w:rsidR="00C5039C" w:rsidRDefault="00C5039C">
            <w:r>
              <w:rPr>
                <w:noProof/>
              </w:rPr>
              <w:lastRenderedPageBreak/>
              <w:drawing>
                <wp:inline distT="0" distB="0" distL="0" distR="0" wp14:anchorId="1343E8B3" wp14:editId="2F42C597">
                  <wp:extent cx="4137025" cy="280342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47538" cy="2810553"/>
                          </a:xfrm>
                          <a:prstGeom prst="rect">
                            <a:avLst/>
                          </a:prstGeom>
                          <a:noFill/>
                          <a:ln>
                            <a:noFill/>
                          </a:ln>
                        </pic:spPr>
                      </pic:pic>
                    </a:graphicData>
                  </a:graphic>
                </wp:inline>
              </w:drawing>
            </w:r>
          </w:p>
        </w:tc>
        <w:tc>
          <w:tcPr>
            <w:tcW w:w="4675" w:type="dxa"/>
          </w:tcPr>
          <w:p w:rsidR="005948A4" w:rsidRDefault="005948A4">
            <w:r>
              <w:object w:dxaOrig="3495" w:dyaOrig="1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9.25pt;height:83.25pt" o:ole="">
                  <v:imagedata r:id="rId31" o:title=""/>
                </v:shape>
                <o:OLEObject Type="Embed" ProgID="PBrush" ShapeID="_x0000_i1026" DrawAspect="Content" ObjectID="_1583135193" r:id="rId32"/>
              </w:object>
            </w:r>
          </w:p>
          <w:p w:rsidR="00C5039C" w:rsidRDefault="005948A4">
            <w:r>
              <w:t>The reference level is the top of the well (67.25m). The ground level is -0.5m below the top of well, or 66.75m above geodetic datum.</w:t>
            </w:r>
          </w:p>
          <w:p w:rsidR="005948A4" w:rsidRDefault="005948A4"/>
        </w:tc>
      </w:tr>
      <w:tr w:rsidR="00C5039C" w:rsidTr="00C5039C">
        <w:tc>
          <w:tcPr>
            <w:tcW w:w="4675" w:type="dxa"/>
          </w:tcPr>
          <w:p w:rsidR="00C5039C" w:rsidRDefault="00C5039C">
            <w:pPr>
              <w:rPr>
                <w:noProof/>
              </w:rPr>
            </w:pPr>
            <w:r>
              <w:rPr>
                <w:noProof/>
              </w:rPr>
              <w:drawing>
                <wp:inline distT="0" distB="0" distL="0" distR="0" wp14:anchorId="3A7B94F6" wp14:editId="320E7AE8">
                  <wp:extent cx="3564669" cy="27336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80464" cy="2745788"/>
                          </a:xfrm>
                          <a:prstGeom prst="rect">
                            <a:avLst/>
                          </a:prstGeom>
                          <a:noFill/>
                          <a:ln>
                            <a:noFill/>
                          </a:ln>
                        </pic:spPr>
                      </pic:pic>
                    </a:graphicData>
                  </a:graphic>
                </wp:inline>
              </w:drawing>
            </w:r>
          </w:p>
        </w:tc>
        <w:tc>
          <w:tcPr>
            <w:tcW w:w="4675" w:type="dxa"/>
          </w:tcPr>
          <w:p w:rsidR="00C5039C" w:rsidRDefault="005948A4">
            <w:r>
              <w:object w:dxaOrig="2610" w:dyaOrig="630">
                <v:shape id="_x0000_i1027" type="#_x0000_t75" style="width:130.5pt;height:31.5pt" o:ole="">
                  <v:imagedata r:id="rId34" o:title=""/>
                </v:shape>
                <o:OLEObject Type="Embed" ProgID="PBrush" ShapeID="_x0000_i1027" DrawAspect="Content" ObjectID="_1583135194" r:id="rId35"/>
              </w:object>
            </w:r>
          </w:p>
          <w:p w:rsidR="005948A4" w:rsidRDefault="005948A4"/>
          <w:p w:rsidR="005948A4" w:rsidRDefault="005948A4">
            <w:r>
              <w:t>The average water level is 6.11m below the top of the well in the stratum labelled “Small-medium gravel with traces of yellow silt”.</w:t>
            </w:r>
          </w:p>
        </w:tc>
      </w:tr>
      <w:tr w:rsidR="00C5039C" w:rsidTr="00C5039C">
        <w:tc>
          <w:tcPr>
            <w:tcW w:w="4675" w:type="dxa"/>
          </w:tcPr>
          <w:p w:rsidR="00C5039C" w:rsidRDefault="00C5039C">
            <w:pPr>
              <w:rPr>
                <w:noProof/>
              </w:rPr>
            </w:pPr>
            <w:r>
              <w:rPr>
                <w:noProof/>
              </w:rPr>
              <w:drawing>
                <wp:inline distT="0" distB="0" distL="0" distR="0" wp14:anchorId="5F07C76E" wp14:editId="487AA479">
                  <wp:extent cx="3513060" cy="173831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34779" cy="1749059"/>
                          </a:xfrm>
                          <a:prstGeom prst="rect">
                            <a:avLst/>
                          </a:prstGeom>
                          <a:noFill/>
                          <a:ln>
                            <a:noFill/>
                          </a:ln>
                        </pic:spPr>
                      </pic:pic>
                    </a:graphicData>
                  </a:graphic>
                </wp:inline>
              </w:drawing>
            </w:r>
          </w:p>
        </w:tc>
        <w:tc>
          <w:tcPr>
            <w:tcW w:w="4675" w:type="dxa"/>
          </w:tcPr>
          <w:p w:rsidR="00C5039C" w:rsidRDefault="00C5039C">
            <w:r>
              <w:object w:dxaOrig="3217" w:dyaOrig="690">
                <v:shape id="_x0000_i1028" type="#_x0000_t75" style="width:138.4pt;height:34.5pt" o:ole="">
                  <v:imagedata r:id="rId37" o:title=""/>
                </v:shape>
                <o:OLEObject Type="Embed" ProgID="PBrush" ShapeID="_x0000_i1028" DrawAspect="Content" ObjectID="_1583135195" r:id="rId38"/>
              </w:object>
            </w:r>
          </w:p>
          <w:p w:rsidR="00C5039C" w:rsidRDefault="00C5039C"/>
          <w:p w:rsidR="007627E7" w:rsidRDefault="007627E7"/>
          <w:p w:rsidR="007627E7" w:rsidRDefault="007627E7"/>
          <w:p w:rsidR="007627E7" w:rsidRDefault="007627E7"/>
          <w:p w:rsidR="00C5039C" w:rsidRDefault="00C5039C">
            <w:r>
              <w:t>The well is screened for entry of water right at the bottom of the well between 16.8m and 18.3m from top of well.</w:t>
            </w:r>
          </w:p>
        </w:tc>
      </w:tr>
    </w:tbl>
    <w:p w:rsidR="00E60E3B" w:rsidRDefault="00E60E3B"/>
    <w:p w:rsidR="005948A4" w:rsidRDefault="00BB1C58">
      <w:r>
        <w:t xml:space="preserve">If you switch to </w:t>
      </w:r>
      <w:r w:rsidRPr="00BB1C58">
        <w:rPr>
          <w:b/>
        </w:rPr>
        <w:t>Water Level Graphs</w:t>
      </w:r>
      <w:r>
        <w:t>, you’ll see a chart of current year levels (in blue compared to the minimum, maximum and average for past years.  This year is a relatively wet year with water levels near the highest recorded.</w:t>
      </w:r>
    </w:p>
    <w:p w:rsidR="00BB1C58" w:rsidRDefault="00BB1C58">
      <w:r>
        <w:rPr>
          <w:noProof/>
        </w:rPr>
        <w:lastRenderedPageBreak/>
        <w:drawing>
          <wp:inline distT="0" distB="0" distL="0" distR="0">
            <wp:extent cx="5939155" cy="2724150"/>
            <wp:effectExtent l="19050" t="19050" r="234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155" cy="2724150"/>
                    </a:xfrm>
                    <a:prstGeom prst="rect">
                      <a:avLst/>
                    </a:prstGeom>
                    <a:noFill/>
                    <a:ln w="3175">
                      <a:solidFill>
                        <a:schemeClr val="bg1">
                          <a:lumMod val="65000"/>
                        </a:schemeClr>
                      </a:solidFill>
                    </a:ln>
                  </pic:spPr>
                </pic:pic>
              </a:graphicData>
            </a:graphic>
          </wp:inline>
        </w:drawing>
      </w:r>
    </w:p>
    <w:p w:rsidR="005948A4" w:rsidRDefault="00BB1C58">
      <w:r>
        <w:t>If you scroll down to the next chart, you’ll see that t</w:t>
      </w:r>
      <w:r w:rsidR="005948A4">
        <w:t>he water levels in this well fluctuate between about 2m below top of well to 13m below top of well.</w:t>
      </w:r>
    </w:p>
    <w:p w:rsidR="00392870" w:rsidRDefault="00392870" w:rsidP="00392870">
      <w:r>
        <w:rPr>
          <w:noProof/>
        </w:rPr>
        <w:drawing>
          <wp:inline distT="0" distB="0" distL="0" distR="0" wp14:anchorId="3DCCB309" wp14:editId="70FD396E">
            <wp:extent cx="5934075" cy="2300605"/>
            <wp:effectExtent l="19050" t="19050" r="28575"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2300605"/>
                    </a:xfrm>
                    <a:prstGeom prst="rect">
                      <a:avLst/>
                    </a:prstGeom>
                    <a:noFill/>
                    <a:ln w="3175">
                      <a:solidFill>
                        <a:schemeClr val="bg1">
                          <a:lumMod val="65000"/>
                        </a:schemeClr>
                      </a:solidFill>
                    </a:ln>
                  </pic:spPr>
                </pic:pic>
              </a:graphicData>
            </a:graphic>
          </wp:inline>
        </w:drawing>
      </w:r>
    </w:p>
    <w:p w:rsidR="00392870" w:rsidRDefault="00392870">
      <w:pPr>
        <w:rPr>
          <w:i/>
        </w:rPr>
      </w:pPr>
      <w:r w:rsidRPr="00580A37">
        <w:rPr>
          <w:i/>
        </w:rPr>
        <w:t xml:space="preserve">To be Turned in: </w:t>
      </w:r>
      <w:r>
        <w:rPr>
          <w:i/>
        </w:rPr>
        <w:t xml:space="preserve">Choose another observation well from the dataset and prepare a similar description of it like the one </w:t>
      </w:r>
      <w:r w:rsidR="00EC6590">
        <w:rPr>
          <w:i/>
        </w:rPr>
        <w:t>presented</w:t>
      </w:r>
      <w:r>
        <w:rPr>
          <w:i/>
        </w:rPr>
        <w:t xml:space="preserve"> above for L36/2175.  How does your well compare with L36/2175?</w:t>
      </w:r>
      <w:r w:rsidR="00845131">
        <w:rPr>
          <w:i/>
        </w:rPr>
        <w:t xml:space="preserve"> [Hint make sure this well is upstream of Te Waihora/Lake Ellesmere because</w:t>
      </w:r>
      <w:r w:rsidR="001E0DFA">
        <w:rPr>
          <w:i/>
        </w:rPr>
        <w:t xml:space="preserve"> this</w:t>
      </w:r>
      <w:r w:rsidR="00845131">
        <w:rPr>
          <w:i/>
        </w:rPr>
        <w:t xml:space="preserve"> is important for Question 4].</w:t>
      </w:r>
    </w:p>
    <w:p w:rsidR="00983F16" w:rsidRDefault="00983F16">
      <w:pPr>
        <w:rPr>
          <w:i/>
        </w:rPr>
      </w:pPr>
    </w:p>
    <w:p w:rsidR="00983F16" w:rsidRDefault="00983F16">
      <w:pPr>
        <w:rPr>
          <w:i/>
        </w:rPr>
      </w:pPr>
    </w:p>
    <w:p w:rsidR="00983F16" w:rsidRDefault="00983F16">
      <w:pPr>
        <w:rPr>
          <w:i/>
        </w:rPr>
      </w:pPr>
    </w:p>
    <w:p w:rsidR="00983F16" w:rsidRDefault="00983F16">
      <w:pPr>
        <w:rPr>
          <w:i/>
        </w:rPr>
      </w:pPr>
    </w:p>
    <w:p w:rsidR="00983F16" w:rsidRDefault="00983F16">
      <w:pPr>
        <w:rPr>
          <w:i/>
        </w:rPr>
      </w:pPr>
    </w:p>
    <w:p w:rsidR="00C3612C" w:rsidRPr="00EC6590" w:rsidRDefault="00C3612C">
      <w:pPr>
        <w:rPr>
          <w:i/>
        </w:rPr>
      </w:pPr>
    </w:p>
    <w:p w:rsidR="00B43272" w:rsidRPr="001E0DFA" w:rsidRDefault="00365389" w:rsidP="00B43272">
      <w:pPr>
        <w:pStyle w:val="ListParagraph"/>
        <w:numPr>
          <w:ilvl w:val="0"/>
          <w:numId w:val="1"/>
        </w:numPr>
        <w:rPr>
          <w:rFonts w:asciiTheme="majorHAnsi" w:hAnsiTheme="majorHAnsi"/>
          <w:b/>
          <w:noProof/>
          <w:sz w:val="28"/>
          <w:szCs w:val="28"/>
        </w:rPr>
      </w:pPr>
      <w:r>
        <w:rPr>
          <w:rFonts w:asciiTheme="majorHAnsi" w:hAnsiTheme="majorHAnsi"/>
          <w:b/>
          <w:noProof/>
          <w:sz w:val="28"/>
          <w:szCs w:val="28"/>
        </w:rPr>
        <w:lastRenderedPageBreak/>
        <w:t>Description</w:t>
      </w:r>
      <w:r w:rsidR="00403518" w:rsidRPr="001E0DFA">
        <w:rPr>
          <w:rFonts w:asciiTheme="majorHAnsi" w:hAnsiTheme="majorHAnsi"/>
          <w:b/>
          <w:noProof/>
          <w:sz w:val="28"/>
          <w:szCs w:val="28"/>
        </w:rPr>
        <w:t xml:space="preserve"> of the Selwyn Aquifer</w:t>
      </w:r>
    </w:p>
    <w:p w:rsidR="006D4515" w:rsidRDefault="00403518" w:rsidP="002C40BC">
      <w:pPr>
        <w:rPr>
          <w:noProof/>
        </w:rPr>
      </w:pPr>
      <w:r>
        <w:rPr>
          <w:noProof/>
        </w:rPr>
        <w:t xml:space="preserve">The physical and flow properties of the hydrogeology of the Selwyn aquifer are contained in a data set developed to support Modflow groundwater modeling of the aquifer, compiled by Julian Weir and colleagues at Aqualinc.  </w:t>
      </w:r>
      <w:r w:rsidR="002C40BC">
        <w:rPr>
          <w:noProof/>
        </w:rPr>
        <w:t xml:space="preserve">Go to the dataset you downloaded for this exercise and add the </w:t>
      </w:r>
      <w:r w:rsidR="002C40BC" w:rsidRPr="002C40BC">
        <w:rPr>
          <w:b/>
          <w:noProof/>
        </w:rPr>
        <w:t>Model_Grid</w:t>
      </w:r>
      <w:r w:rsidR="002C40BC">
        <w:rPr>
          <w:noProof/>
        </w:rPr>
        <w:t xml:space="preserve"> shape file to your map display.  </w:t>
      </w:r>
    </w:p>
    <w:p w:rsidR="006D4515" w:rsidRDefault="006D4515" w:rsidP="002C40BC">
      <w:pPr>
        <w:rPr>
          <w:noProof/>
        </w:rPr>
      </w:pPr>
      <w:r>
        <w:rPr>
          <w:noProof/>
        </w:rPr>
        <w:drawing>
          <wp:inline distT="0" distB="0" distL="0" distR="0">
            <wp:extent cx="1471930" cy="1171575"/>
            <wp:effectExtent l="19050" t="19050" r="1397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71930" cy="1171575"/>
                    </a:xfrm>
                    <a:prstGeom prst="rect">
                      <a:avLst/>
                    </a:prstGeom>
                    <a:noFill/>
                    <a:ln w="3175">
                      <a:solidFill>
                        <a:schemeClr val="bg1">
                          <a:lumMod val="65000"/>
                        </a:schemeClr>
                      </a:solidFill>
                    </a:ln>
                  </pic:spPr>
                </pic:pic>
              </a:graphicData>
            </a:graphic>
          </wp:inline>
        </w:drawing>
      </w:r>
    </w:p>
    <w:p w:rsidR="002C40BC" w:rsidRPr="002C40BC" w:rsidRDefault="002C40BC" w:rsidP="002C40BC">
      <w:pPr>
        <w:rPr>
          <w:noProof/>
        </w:rPr>
      </w:pPr>
      <w:r>
        <w:rPr>
          <w:noProof/>
        </w:rPr>
        <w:t xml:space="preserve">Turn off the Wells feature class but leave the </w:t>
      </w:r>
      <w:r w:rsidRPr="002C40BC">
        <w:rPr>
          <w:b/>
          <w:noProof/>
        </w:rPr>
        <w:t>SelectWell</w:t>
      </w:r>
      <w:r>
        <w:rPr>
          <w:noProof/>
        </w:rPr>
        <w:t xml:space="preserve"> feature displayed.  </w:t>
      </w:r>
    </w:p>
    <w:p w:rsidR="003A46C3" w:rsidRDefault="002C40BC">
      <w:r>
        <w:rPr>
          <w:noProof/>
        </w:rPr>
        <w:drawing>
          <wp:inline distT="0" distB="0" distL="0" distR="0">
            <wp:extent cx="4267200" cy="2830048"/>
            <wp:effectExtent l="19050" t="19050" r="19050" b="279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72818" cy="2833774"/>
                    </a:xfrm>
                    <a:prstGeom prst="rect">
                      <a:avLst/>
                    </a:prstGeom>
                    <a:noFill/>
                    <a:ln w="3175">
                      <a:solidFill>
                        <a:schemeClr val="bg1">
                          <a:lumMod val="65000"/>
                        </a:schemeClr>
                      </a:solidFill>
                    </a:ln>
                  </pic:spPr>
                </pic:pic>
              </a:graphicData>
            </a:graphic>
          </wp:inline>
        </w:drawing>
      </w:r>
    </w:p>
    <w:p w:rsidR="003A46C3" w:rsidRDefault="003A46C3">
      <w:r>
        <w:t xml:space="preserve">Now, let’s get a geology map to add to this display.  Select </w:t>
      </w:r>
      <w:r w:rsidRPr="003A46C3">
        <w:rPr>
          <w:b/>
        </w:rPr>
        <w:t>Add Data from ArcGIS Online</w:t>
      </w:r>
    </w:p>
    <w:p w:rsidR="003A46C3" w:rsidRDefault="003A46C3">
      <w:r>
        <w:rPr>
          <w:noProof/>
        </w:rPr>
        <w:drawing>
          <wp:inline distT="0" distB="0" distL="0" distR="0">
            <wp:extent cx="2247900" cy="180022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47900" cy="1800225"/>
                    </a:xfrm>
                    <a:prstGeom prst="rect">
                      <a:avLst/>
                    </a:prstGeom>
                    <a:noFill/>
                    <a:ln w="3175">
                      <a:solidFill>
                        <a:schemeClr val="bg1">
                          <a:lumMod val="65000"/>
                        </a:schemeClr>
                      </a:solidFill>
                    </a:ln>
                  </pic:spPr>
                </pic:pic>
              </a:graphicData>
            </a:graphic>
          </wp:inline>
        </w:drawing>
      </w:r>
    </w:p>
    <w:p w:rsidR="003A46C3" w:rsidRPr="003A46C3" w:rsidRDefault="003A46C3">
      <w:r>
        <w:lastRenderedPageBreak/>
        <w:t xml:space="preserve">And search for </w:t>
      </w:r>
      <w:r w:rsidRPr="003A46C3">
        <w:rPr>
          <w:b/>
        </w:rPr>
        <w:t>Geological Map of New Zealand</w:t>
      </w:r>
      <w:r>
        <w:rPr>
          <w:b/>
        </w:rPr>
        <w:t xml:space="preserve">  </w:t>
      </w:r>
      <w:r>
        <w:t xml:space="preserve">You’ll see that a map becomes available produced by the project </w:t>
      </w:r>
      <w:r w:rsidR="00A120BD" w:rsidRPr="00A120BD">
        <w:rPr>
          <w:b/>
        </w:rPr>
        <w:t>QMAP</w:t>
      </w:r>
      <w:r w:rsidR="00A120BD">
        <w:t xml:space="preserve"> </w:t>
      </w:r>
      <w:r>
        <w:t xml:space="preserve">of the </w:t>
      </w:r>
      <w:r w:rsidR="00A120BD">
        <w:t xml:space="preserve">Crown Research Institute: </w:t>
      </w:r>
      <w:r w:rsidR="00A120BD" w:rsidRPr="00A120BD">
        <w:rPr>
          <w:b/>
        </w:rPr>
        <w:t>Geological and Nuclear Sciences</w:t>
      </w:r>
      <w:r w:rsidR="00A120BD">
        <w:t xml:space="preserve"> (GNS)</w:t>
      </w:r>
    </w:p>
    <w:p w:rsidR="003A46C3" w:rsidRDefault="003A46C3">
      <w:r>
        <w:rPr>
          <w:noProof/>
        </w:rPr>
        <w:drawing>
          <wp:inline distT="0" distB="0" distL="0" distR="0" wp14:anchorId="0A8DC678" wp14:editId="1337026C">
            <wp:extent cx="5201909" cy="2952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07057" cy="2955672"/>
                    </a:xfrm>
                    <a:prstGeom prst="rect">
                      <a:avLst/>
                    </a:prstGeom>
                  </pic:spPr>
                </pic:pic>
              </a:graphicData>
            </a:graphic>
          </wp:inline>
        </w:drawing>
      </w:r>
    </w:p>
    <w:p w:rsidR="00A120BD" w:rsidRDefault="006D4515">
      <w:r>
        <w:t>I</w:t>
      </w:r>
      <w:r w:rsidR="00A120BD">
        <w:t>f you add this map to your display, you’ll see a coloured image of the geology of this region.  The purple areas are volcanic rocks of Banks Peninsula (Lyttleton Harbour and Akaroa Harbour are flooded calderas of ancient volcanos).  The white areas are regions where river gravel depositio</w:t>
      </w:r>
      <w:r>
        <w:t>ns dominate the surface geology – in the case of the Selwyn aquifer, these are the Waimakariri River to the north, the Rakaia River to the south and the Selwyn River in the center of the model grid.</w:t>
      </w:r>
    </w:p>
    <w:p w:rsidR="002C40BC" w:rsidRDefault="00A120BD">
      <w:r>
        <w:rPr>
          <w:noProof/>
        </w:rPr>
        <w:drawing>
          <wp:inline distT="0" distB="0" distL="0" distR="0">
            <wp:extent cx="5943600" cy="33578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357880"/>
                    </a:xfrm>
                    <a:prstGeom prst="rect">
                      <a:avLst/>
                    </a:prstGeom>
                    <a:noFill/>
                    <a:ln>
                      <a:noFill/>
                    </a:ln>
                  </pic:spPr>
                </pic:pic>
              </a:graphicData>
            </a:graphic>
          </wp:inline>
        </w:drawing>
      </w:r>
    </w:p>
    <w:p w:rsidR="004953E4" w:rsidRDefault="004953E4">
      <w:r>
        <w:t>A three-dimensional view of the Selwyn groundwater system is shown below.</w:t>
      </w:r>
    </w:p>
    <w:p w:rsidR="004953E4" w:rsidRDefault="004953E4"/>
    <w:p w:rsidR="004953E4" w:rsidRDefault="004953E4">
      <w:r>
        <w:rPr>
          <w:noProof/>
        </w:rPr>
        <w:drawing>
          <wp:inline distT="0" distB="0" distL="0" distR="0">
            <wp:extent cx="5633760" cy="2747963"/>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7471" cy="2749773"/>
                    </a:xfrm>
                    <a:prstGeom prst="rect">
                      <a:avLst/>
                    </a:prstGeom>
                    <a:noFill/>
                    <a:ln>
                      <a:noFill/>
                    </a:ln>
                  </pic:spPr>
                </pic:pic>
              </a:graphicData>
            </a:graphic>
          </wp:inline>
        </w:drawing>
      </w:r>
    </w:p>
    <w:p w:rsidR="004953E4" w:rsidRDefault="004953E4">
      <w:r>
        <w:t>Three-Dimensional Model of the Selwyn Groundwater System Source of Image: Julian Weir, Aqualinc</w:t>
      </w:r>
    </w:p>
    <w:p w:rsidR="00DC56C0" w:rsidRDefault="00DC56C0">
      <w:r>
        <w:t xml:space="preserve">And if you zoom in to Well </w:t>
      </w:r>
      <w:r w:rsidR="00006071">
        <w:t xml:space="preserve">L36/2175, and use the </w:t>
      </w:r>
      <w:r w:rsidR="00006071" w:rsidRPr="00006071">
        <w:rPr>
          <w:b/>
        </w:rPr>
        <w:t>Identify</w:t>
      </w:r>
      <w:r w:rsidR="00006071">
        <w:t xml:space="preserve"> </w:t>
      </w:r>
      <w:r w:rsidR="00006071">
        <w:rPr>
          <w:noProof/>
        </w:rPr>
        <w:drawing>
          <wp:inline distT="0" distB="0" distL="0" distR="0">
            <wp:extent cx="223105" cy="214313"/>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759" cy="218784"/>
                    </a:xfrm>
                    <a:prstGeom prst="rect">
                      <a:avLst/>
                    </a:prstGeom>
                    <a:noFill/>
                    <a:ln>
                      <a:noFill/>
                    </a:ln>
                  </pic:spPr>
                </pic:pic>
              </a:graphicData>
            </a:graphic>
          </wp:inline>
        </w:drawing>
      </w:r>
      <w:r w:rsidR="00006071">
        <w:t xml:space="preserve"> tool to query the Model_Grid cell in which this well is located, you’ll see parameters </w:t>
      </w:r>
      <w:r w:rsidR="00006071" w:rsidRPr="00006071">
        <w:rPr>
          <w:b/>
        </w:rPr>
        <w:t>I, J, K</w:t>
      </w:r>
      <w:r w:rsidR="00006071">
        <w:t xml:space="preserve">, which refer to the </w:t>
      </w:r>
      <w:r w:rsidR="00006071" w:rsidRPr="00006071">
        <w:rPr>
          <w:b/>
        </w:rPr>
        <w:t>row, column</w:t>
      </w:r>
      <w:r w:rsidR="00006071">
        <w:t xml:space="preserve"> and </w:t>
      </w:r>
      <w:r w:rsidR="00006071" w:rsidRPr="00006071">
        <w:rPr>
          <w:b/>
        </w:rPr>
        <w:t>layer</w:t>
      </w:r>
      <w:r w:rsidR="00006071">
        <w:t xml:space="preserve"> indices of the Modflow model.  In the display shown below, the “Top” elevation of 67.5 meters refers to the ground surface elevation for layer 1 (K = 1).</w:t>
      </w:r>
      <w:r w:rsidR="00AC1D07">
        <w:t xml:space="preserve">  The white colour in the map below </w:t>
      </w:r>
      <w:r w:rsidR="006D4515">
        <w:t>represents</w:t>
      </w:r>
      <w:r w:rsidR="00AC1D07">
        <w:t xml:space="preserve"> the gravels in and around the Selwyn River bed.</w:t>
      </w:r>
    </w:p>
    <w:p w:rsidR="00006071" w:rsidRDefault="00006071">
      <w:r>
        <w:rPr>
          <w:noProof/>
        </w:rPr>
        <w:drawing>
          <wp:inline distT="0" distB="0" distL="0" distR="0">
            <wp:extent cx="4701110" cy="3081337"/>
            <wp:effectExtent l="19050" t="19050" r="23495" b="241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10320" cy="3087374"/>
                    </a:xfrm>
                    <a:prstGeom prst="rect">
                      <a:avLst/>
                    </a:prstGeom>
                    <a:noFill/>
                    <a:ln w="3175">
                      <a:solidFill>
                        <a:schemeClr val="bg1">
                          <a:lumMod val="65000"/>
                        </a:schemeClr>
                      </a:solidFill>
                    </a:ln>
                  </pic:spPr>
                </pic:pic>
              </a:graphicData>
            </a:graphic>
          </wp:inline>
        </w:drawing>
      </w:r>
    </w:p>
    <w:p w:rsidR="00A120BD" w:rsidRDefault="006D4515">
      <w:r>
        <w:t xml:space="preserve">Use </w:t>
      </w:r>
      <w:r w:rsidRPr="006D4515">
        <w:rPr>
          <w:b/>
        </w:rPr>
        <w:t>Select</w:t>
      </w:r>
      <w:r>
        <w:t xml:space="preserve"> to select the grid cell containing well L36/2175, open the </w:t>
      </w:r>
      <w:r w:rsidRPr="006D4515">
        <w:rPr>
          <w:b/>
        </w:rPr>
        <w:t>Model_Grid</w:t>
      </w:r>
      <w:r>
        <w:t xml:space="preserve"> attribute table, and hit the </w:t>
      </w:r>
      <w:r w:rsidRPr="006D4515">
        <w:rPr>
          <w:b/>
        </w:rPr>
        <w:t>Show Selected Records</w:t>
      </w:r>
      <w:r>
        <w:t xml:space="preserve"> in the tab at the bottom of the table display</w:t>
      </w:r>
    </w:p>
    <w:p w:rsidR="00DC56C0" w:rsidRDefault="00DC56C0">
      <w:r>
        <w:rPr>
          <w:noProof/>
        </w:rPr>
        <w:lastRenderedPageBreak/>
        <w:drawing>
          <wp:inline distT="0" distB="0" distL="0" distR="0" wp14:anchorId="4F08F775" wp14:editId="34FECCB7">
            <wp:extent cx="4724082" cy="3388116"/>
            <wp:effectExtent l="0" t="0" r="63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733343" cy="3394758"/>
                    </a:xfrm>
                    <a:prstGeom prst="rect">
                      <a:avLst/>
                    </a:prstGeom>
                  </pic:spPr>
                </pic:pic>
              </a:graphicData>
            </a:graphic>
          </wp:inline>
        </w:drawing>
      </w:r>
    </w:p>
    <w:p w:rsidR="00006071" w:rsidRDefault="00C75508">
      <w:r>
        <w:t xml:space="preserve">In the top left corner of the Attribute Table, with the rows selected as shown above, you can export this table </w:t>
      </w:r>
    </w:p>
    <w:p w:rsidR="00006071" w:rsidRDefault="00006071">
      <w:r>
        <w:rPr>
          <w:noProof/>
        </w:rPr>
        <w:drawing>
          <wp:inline distT="0" distB="0" distL="0" distR="0">
            <wp:extent cx="1580457" cy="3748088"/>
            <wp:effectExtent l="19050" t="19050" r="20320" b="241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2889" cy="3753855"/>
                    </a:xfrm>
                    <a:prstGeom prst="rect">
                      <a:avLst/>
                    </a:prstGeom>
                    <a:noFill/>
                    <a:ln w="3175">
                      <a:solidFill>
                        <a:schemeClr val="bg1">
                          <a:lumMod val="65000"/>
                        </a:schemeClr>
                      </a:solidFill>
                    </a:ln>
                  </pic:spPr>
                </pic:pic>
              </a:graphicData>
            </a:graphic>
          </wp:inline>
        </w:drawing>
      </w:r>
    </w:p>
    <w:p w:rsidR="00C75508" w:rsidRDefault="00C75508">
      <w:r>
        <w:t xml:space="preserve">Export this as a text file </w:t>
      </w:r>
      <w:r w:rsidRPr="00C75508">
        <w:rPr>
          <w:b/>
        </w:rPr>
        <w:t>GridData.txt</w:t>
      </w:r>
      <w:r>
        <w:t xml:space="preserve"> </w:t>
      </w:r>
    </w:p>
    <w:p w:rsidR="00C75508" w:rsidRDefault="00C75508">
      <w:r>
        <w:rPr>
          <w:noProof/>
        </w:rPr>
        <w:lastRenderedPageBreak/>
        <w:drawing>
          <wp:inline distT="0" distB="0" distL="0" distR="0" wp14:anchorId="6B5730B2" wp14:editId="2C476076">
            <wp:extent cx="3729037" cy="2426663"/>
            <wp:effectExtent l="19050" t="19050" r="24130" b="120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34502" cy="2430219"/>
                    </a:xfrm>
                    <a:prstGeom prst="rect">
                      <a:avLst/>
                    </a:prstGeom>
                    <a:ln w="3175">
                      <a:solidFill>
                        <a:schemeClr val="bg1">
                          <a:lumMod val="65000"/>
                        </a:schemeClr>
                      </a:solidFill>
                    </a:ln>
                  </pic:spPr>
                </pic:pic>
              </a:graphicData>
            </a:graphic>
          </wp:inline>
        </w:drawing>
      </w:r>
    </w:p>
    <w:p w:rsidR="00C75508" w:rsidRDefault="00C75508">
      <w:r>
        <w:t>Import this table into Excel as a Comma Delimited text file</w:t>
      </w:r>
    </w:p>
    <w:p w:rsidR="00C75508" w:rsidRDefault="00C75508">
      <w:r>
        <w:rPr>
          <w:noProof/>
        </w:rPr>
        <w:drawing>
          <wp:inline distT="0" distB="0" distL="0" distR="0">
            <wp:extent cx="3848100" cy="3101844"/>
            <wp:effectExtent l="19050" t="19050" r="19050" b="228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52814" cy="3105644"/>
                    </a:xfrm>
                    <a:prstGeom prst="rect">
                      <a:avLst/>
                    </a:prstGeom>
                    <a:noFill/>
                    <a:ln w="3175">
                      <a:solidFill>
                        <a:schemeClr val="bg1">
                          <a:lumMod val="65000"/>
                        </a:schemeClr>
                      </a:solidFill>
                    </a:ln>
                  </pic:spPr>
                </pic:pic>
              </a:graphicData>
            </a:graphic>
          </wp:inline>
        </w:drawing>
      </w:r>
    </w:p>
    <w:p w:rsidR="009A41F0" w:rsidRDefault="009A41F0" w:rsidP="00F860FB">
      <w:r>
        <w:t xml:space="preserve">If you look in the Excel file, you’ll see two columns labeled </w:t>
      </w:r>
      <w:r w:rsidRPr="002F05C4">
        <w:rPr>
          <w:b/>
        </w:rPr>
        <w:t xml:space="preserve">HKPARAMET </w:t>
      </w:r>
      <w:r>
        <w:t xml:space="preserve">and </w:t>
      </w:r>
      <w:r w:rsidRPr="002F05C4">
        <w:rPr>
          <w:b/>
        </w:rPr>
        <w:t>VKPARAMET</w:t>
      </w:r>
      <w:r>
        <w:t xml:space="preserve"> that refer </w:t>
      </w:r>
      <w:r w:rsidR="006D4515">
        <w:t>to values of</w:t>
      </w:r>
      <w:r>
        <w:t xml:space="preserve"> the </w:t>
      </w:r>
      <w:r w:rsidR="002F05C4">
        <w:t>horizontal and vertical</w:t>
      </w:r>
      <w:r>
        <w:t xml:space="preserve"> </w:t>
      </w:r>
      <w:r w:rsidRPr="002F05C4">
        <w:rPr>
          <w:b/>
        </w:rPr>
        <w:t>Hydraulic Conductivity</w:t>
      </w:r>
      <w:r w:rsidR="006162CF">
        <w:t xml:space="preserve"> </w:t>
      </w:r>
      <w:r w:rsidR="005C7C46">
        <w:t xml:space="preserve">of the aquifer </w:t>
      </w:r>
      <w:r w:rsidR="006162CF">
        <w:t>in meters per day</w:t>
      </w:r>
      <w:r>
        <w:t xml:space="preserve">.  This is a measure of the “ease of flow” of the water in the aquifer.  Notice that the water flows much more readily in the horizontal direction than it does in the vertical, and also that some hydrogeological layers are much more free flowing than others are. The free flowing layers are “aquifers” and the slow flowing layers are “aquitards”.  </w:t>
      </w:r>
      <w:r w:rsidR="001B3912">
        <w:br/>
      </w:r>
    </w:p>
    <w:p w:rsidR="00C75508" w:rsidRDefault="00C75508">
      <w:r>
        <w:rPr>
          <w:noProof/>
        </w:rPr>
        <w:lastRenderedPageBreak/>
        <w:drawing>
          <wp:inline distT="0" distB="0" distL="0" distR="0">
            <wp:extent cx="5943600" cy="3310255"/>
            <wp:effectExtent l="19050" t="19050" r="19050" b="234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310255"/>
                    </a:xfrm>
                    <a:prstGeom prst="rect">
                      <a:avLst/>
                    </a:prstGeom>
                    <a:noFill/>
                    <a:ln w="3175">
                      <a:solidFill>
                        <a:schemeClr val="bg1">
                          <a:lumMod val="65000"/>
                        </a:schemeClr>
                      </a:solidFill>
                    </a:ln>
                  </pic:spPr>
                </pic:pic>
              </a:graphicData>
            </a:graphic>
          </wp:inline>
        </w:drawing>
      </w:r>
    </w:p>
    <w:p w:rsidR="005C7C46" w:rsidRDefault="00F860FB" w:rsidP="00F860FB">
      <w:r>
        <w:t>Effectively, you can see that there are 7 hydrogeological layers at this location denoted by the colours. I have summarized the data in the following table</w:t>
      </w:r>
      <w:r w:rsidR="001E0DFA">
        <w:t xml:space="preserve"> on the following page </w:t>
      </w:r>
      <w:r>
        <w:t xml:space="preserve"> to show the properties of the layers. </w:t>
      </w:r>
      <w:r w:rsidR="0024274F">
        <w:t xml:space="preserve">If </w:t>
      </w:r>
      <w:r w:rsidR="002F05C4">
        <w:t>you multiply the</w:t>
      </w:r>
      <w:r w:rsidR="001E0DFA">
        <w:t xml:space="preserve"> horizontal</w:t>
      </w:r>
      <w:r w:rsidR="002F05C4">
        <w:t xml:space="preserve"> Conductivity, K,</w:t>
      </w:r>
      <w:r w:rsidR="0024274F">
        <w:t xml:space="preserve"> by the layer thickness,</w:t>
      </w:r>
      <w:r w:rsidR="005C7C46">
        <w:t xml:space="preserve"> B,</w:t>
      </w:r>
      <w:r w:rsidR="0024274F">
        <w:t xml:space="preserve"> you get a quantity called Transmissivity, </w:t>
      </w:r>
      <w:r w:rsidR="005C7C46">
        <w:t xml:space="preserve">T, </w:t>
      </w:r>
      <w:r w:rsidR="0024274F">
        <w:t>which indicates how much flow can pass though this layer.</w:t>
      </w:r>
      <w:r w:rsidR="0032083F">
        <w:t xml:space="preserve"> </w:t>
      </w:r>
    </w:p>
    <w:p w:rsidR="005C7C46" w:rsidRDefault="005C7C46" w:rsidP="00F860FB">
      <m:oMathPara>
        <m:oMath>
          <m:r>
            <w:rPr>
              <w:rFonts w:ascii="Cambria Math" w:hAnsi="Cambria Math"/>
            </w:rPr>
            <m:t>T=KB</m:t>
          </m:r>
        </m:oMath>
      </m:oMathPara>
    </w:p>
    <w:p w:rsidR="005C7C46" w:rsidRDefault="0032083F" w:rsidP="00F860FB">
      <w:r>
        <w:t>Adding all the Transmissivity values for the 7 layers,</w:t>
      </w:r>
      <w:r w:rsidR="005C7C46">
        <w:t xml:space="preserve"> T</w:t>
      </w:r>
      <w:r w:rsidR="005C7C46" w:rsidRPr="005C7C46">
        <w:rPr>
          <w:vertAlign w:val="subscript"/>
        </w:rPr>
        <w:t>i</w:t>
      </w:r>
      <w:r w:rsidR="005C7C46">
        <w:t>, i= 1,2,…7</w:t>
      </w:r>
      <w:r w:rsidR="002F05C4">
        <w:t>,</w:t>
      </w:r>
      <w:r>
        <w:t xml:space="preserve"> a total Transmissivity of 24,020 m</w:t>
      </w:r>
      <w:r w:rsidRPr="005C7C46">
        <w:rPr>
          <w:vertAlign w:val="superscript"/>
        </w:rPr>
        <w:t>2</w:t>
      </w:r>
      <w:r>
        <w:t xml:space="preserve">/day is obtained. </w:t>
      </w:r>
    </w:p>
    <w:p w:rsidR="005C7C46" w:rsidRDefault="005C7C46" w:rsidP="00F860FB">
      <m:oMathPara>
        <m:oMath>
          <m:sSub>
            <m:sSubPr>
              <m:ctrlPr>
                <w:rPr>
                  <w:rFonts w:ascii="Cambria Math" w:hAnsi="Cambria Math"/>
                  <w:i/>
                </w:rPr>
              </m:ctrlPr>
            </m:sSubPr>
            <m:e>
              <m:r>
                <w:rPr>
                  <w:rFonts w:ascii="Cambria Math" w:hAnsi="Cambria Math"/>
                </w:rPr>
                <m:t>T</m:t>
              </m:r>
            </m:e>
            <m:sub>
              <m:r>
                <w:rPr>
                  <w:rFonts w:ascii="Cambria Math" w:hAnsi="Cambria Math"/>
                </w:rPr>
                <m:t>tot</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7</m:t>
              </m:r>
            </m:sup>
            <m:e>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 xml:space="preserve">=24,020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/day</m:t>
              </m:r>
            </m:e>
          </m:nary>
        </m:oMath>
      </m:oMathPara>
    </w:p>
    <w:p w:rsidR="005C7C46" w:rsidRDefault="00FF2D0F" w:rsidP="00F860FB">
      <w:r>
        <w:t xml:space="preserve">I’ve used this value to compute the % of the total transmissivity and in the final column and you can see that layers A, B, D, and F are the aquifers in this system while C, E and G are aquitards.  </w:t>
      </w:r>
      <w:r w:rsidR="005C7C46">
        <w:t>Similarly, the total thickness of the hydrogeological system at this location is the sum of the individual layer thicknesses:</w:t>
      </w:r>
    </w:p>
    <w:p w:rsidR="00FF2D0F" w:rsidRPr="00FF2D0F" w:rsidRDefault="005C7C46" w:rsidP="00F860FB">
      <w:pPr>
        <w:rPr>
          <w:rFonts w:eastAsiaTheme="minorEastAsia"/>
        </w:rPr>
      </w:pPr>
      <m:oMathPara>
        <m:oMath>
          <m:sSub>
            <m:sSubPr>
              <m:ctrlPr>
                <w:rPr>
                  <w:rFonts w:ascii="Cambria Math" w:hAnsi="Cambria Math"/>
                  <w:i/>
                </w:rPr>
              </m:ctrlPr>
            </m:sSubPr>
            <m:e>
              <m:r>
                <w:rPr>
                  <w:rFonts w:ascii="Cambria Math" w:hAnsi="Cambria Math"/>
                </w:rPr>
                <m:t>B</m:t>
              </m:r>
            </m:e>
            <m:sub>
              <m:r>
                <w:rPr>
                  <w:rFonts w:ascii="Cambria Math" w:hAnsi="Cambria Math"/>
                </w:rPr>
                <m:t>tot</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7</m:t>
              </m:r>
            </m:sup>
            <m:e>
              <m:sSub>
                <m:sSubPr>
                  <m:ctrlPr>
                    <w:rPr>
                      <w:rFonts w:ascii="Cambria Math" w:hAnsi="Cambria Math"/>
                      <w:i/>
                    </w:rPr>
                  </m:ctrlPr>
                </m:sSubPr>
                <m:e>
                  <m:r>
                    <w:rPr>
                      <w:rFonts w:ascii="Cambria Math" w:hAnsi="Cambria Math"/>
                    </w:rPr>
                    <m:t>B</m:t>
                  </m:r>
                </m:e>
                <m:sub>
                  <m:r>
                    <w:rPr>
                      <w:rFonts w:ascii="Cambria Math" w:hAnsi="Cambria Math"/>
                    </w:rPr>
                    <m:t>i</m:t>
                  </m:r>
                </m:sub>
              </m:sSub>
            </m:e>
          </m:nary>
          <m:r>
            <w:rPr>
              <w:rFonts w:ascii="Cambria Math" w:hAnsi="Cambria Math"/>
            </w:rPr>
            <m:t>=293m</m:t>
          </m:r>
        </m:oMath>
      </m:oMathPara>
    </w:p>
    <w:p w:rsidR="00FF2D0F" w:rsidRDefault="00DF5C8A" w:rsidP="00F860FB">
      <w:r>
        <w:t xml:space="preserve">We can get an </w:t>
      </w:r>
      <w:r w:rsidRPr="000A05F9">
        <w:rPr>
          <w:b/>
        </w:rPr>
        <w:t>average value for the horizontal conductivity</w:t>
      </w:r>
      <w:r>
        <w:t xml:space="preserve"> = Total T</w:t>
      </w:r>
      <w:r w:rsidR="00FF2D0F">
        <w:t>ransmissivity/Total Thickness:</w:t>
      </w:r>
    </w:p>
    <w:p w:rsidR="00FF2D0F" w:rsidRDefault="00FF2D0F" w:rsidP="00F860FB">
      <m:oMathPara>
        <m:oMath>
          <m:sSub>
            <m:sSubPr>
              <m:ctrlPr>
                <w:rPr>
                  <w:rFonts w:ascii="Cambria Math" w:hAnsi="Cambria Math"/>
                  <w:i/>
                </w:rPr>
              </m:ctrlPr>
            </m:sSubPr>
            <m:e>
              <m:r>
                <w:rPr>
                  <w:rFonts w:ascii="Cambria Math" w:hAnsi="Cambria Math"/>
                </w:rPr>
                <m:t>K</m:t>
              </m:r>
            </m:e>
            <m:sub>
              <m:r>
                <w:rPr>
                  <w:rFonts w:ascii="Cambria Math" w:hAnsi="Cambria Math"/>
                </w:rPr>
                <m:t>avg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tot</m:t>
                  </m:r>
                </m:sub>
              </m:sSub>
            </m:num>
            <m:den>
              <m:sSub>
                <m:sSubPr>
                  <m:ctrlPr>
                    <w:rPr>
                      <w:rFonts w:ascii="Cambria Math" w:hAnsi="Cambria Math"/>
                      <w:i/>
                    </w:rPr>
                  </m:ctrlPr>
                </m:sSubPr>
                <m:e>
                  <m:r>
                    <w:rPr>
                      <w:rFonts w:ascii="Cambria Math" w:hAnsi="Cambria Math"/>
                    </w:rPr>
                    <m:t>B</m:t>
                  </m:r>
                </m:e>
                <m:sub>
                  <m:r>
                    <w:rPr>
                      <w:rFonts w:ascii="Cambria Math" w:hAnsi="Cambria Math"/>
                    </w:rPr>
                    <m:t>tot</m:t>
                  </m:r>
                </m:sub>
              </m:sSub>
            </m:den>
          </m:f>
          <m:r>
            <w:rPr>
              <w:rFonts w:ascii="Cambria Math" w:hAnsi="Cambria Math"/>
            </w:rPr>
            <m:t xml:space="preserve">= </m:t>
          </m:r>
          <m:f>
            <m:fPr>
              <m:ctrlPr>
                <w:rPr>
                  <w:rFonts w:ascii="Cambria Math" w:hAnsi="Cambria Math"/>
                  <w:i/>
                </w:rPr>
              </m:ctrlPr>
            </m:fPr>
            <m:num>
              <m:r>
                <w:rPr>
                  <w:rFonts w:ascii="Cambria Math" w:hAnsi="Cambria Math"/>
                </w:rPr>
                <m:t>24020</m:t>
              </m:r>
            </m:num>
            <m:den>
              <m:r>
                <w:rPr>
                  <w:rFonts w:ascii="Cambria Math" w:hAnsi="Cambria Math"/>
                </w:rPr>
                <m:t>293</m:t>
              </m:r>
            </m:den>
          </m:f>
          <m:r>
            <w:rPr>
              <w:rFonts w:ascii="Cambria Math" w:hAnsi="Cambria Math"/>
            </w:rPr>
            <m:t>=</m:t>
          </m:r>
          <m:r>
            <m:rPr>
              <m:sty m:val="bi"/>
            </m:rPr>
            <w:rPr>
              <w:rFonts w:ascii="Cambria Math" w:hAnsi="Cambria Math"/>
            </w:rPr>
            <m:t>82 m/day</m:t>
          </m:r>
        </m:oMath>
      </m:oMathPara>
    </w:p>
    <w:p w:rsidR="00F860FB" w:rsidRDefault="00DF5C8A" w:rsidP="00F860FB">
      <w:r>
        <w:t>We’ll use this value later in the exercise.</w:t>
      </w:r>
    </w:p>
    <w:tbl>
      <w:tblPr>
        <w:tblW w:w="8580" w:type="dxa"/>
        <w:tblLook w:val="04A0" w:firstRow="1" w:lastRow="0" w:firstColumn="1" w:lastColumn="0" w:noHBand="0" w:noVBand="1"/>
      </w:tblPr>
      <w:tblGrid>
        <w:gridCol w:w="921"/>
        <w:gridCol w:w="1020"/>
        <w:gridCol w:w="1020"/>
        <w:gridCol w:w="1380"/>
        <w:gridCol w:w="1100"/>
        <w:gridCol w:w="1519"/>
        <w:gridCol w:w="1620"/>
      </w:tblGrid>
      <w:tr w:rsidR="003E6DC9" w:rsidRPr="003E6DC9" w:rsidTr="003E6DC9">
        <w:trPr>
          <w:trHeight w:val="855"/>
        </w:trPr>
        <w:tc>
          <w:tcPr>
            <w:tcW w:w="1020" w:type="dxa"/>
            <w:tcBorders>
              <w:top w:val="single" w:sz="4" w:space="0" w:color="auto"/>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b/>
                <w:bCs/>
                <w:color w:val="000000"/>
              </w:rPr>
            </w:pPr>
            <w:r w:rsidRPr="003E6DC9">
              <w:rPr>
                <w:rFonts w:ascii="Calibri" w:eastAsia="Times New Roman" w:hAnsi="Calibri" w:cs="Times New Roman"/>
                <w:b/>
                <w:bCs/>
                <w:color w:val="000000"/>
              </w:rPr>
              <w:lastRenderedPageBreak/>
              <w:t>Layer</w:t>
            </w:r>
          </w:p>
        </w:tc>
        <w:tc>
          <w:tcPr>
            <w:tcW w:w="1020" w:type="dxa"/>
            <w:tcBorders>
              <w:top w:val="single" w:sz="4" w:space="0" w:color="auto"/>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b/>
                <w:bCs/>
                <w:color w:val="000000"/>
              </w:rPr>
            </w:pPr>
            <w:r w:rsidRPr="003E6DC9">
              <w:rPr>
                <w:rFonts w:ascii="Calibri" w:eastAsia="Times New Roman" w:hAnsi="Calibri" w:cs="Times New Roman"/>
                <w:b/>
                <w:bCs/>
                <w:color w:val="000000"/>
              </w:rPr>
              <w:t>Top</w:t>
            </w:r>
          </w:p>
        </w:tc>
        <w:tc>
          <w:tcPr>
            <w:tcW w:w="1020" w:type="dxa"/>
            <w:tcBorders>
              <w:top w:val="single" w:sz="4" w:space="0" w:color="auto"/>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b/>
                <w:bCs/>
                <w:color w:val="000000"/>
              </w:rPr>
            </w:pPr>
            <w:r w:rsidRPr="003E6DC9">
              <w:rPr>
                <w:rFonts w:ascii="Calibri" w:eastAsia="Times New Roman" w:hAnsi="Calibri" w:cs="Times New Roman"/>
                <w:b/>
                <w:bCs/>
                <w:color w:val="000000"/>
              </w:rPr>
              <w:t>Bottom</w:t>
            </w:r>
          </w:p>
        </w:tc>
        <w:tc>
          <w:tcPr>
            <w:tcW w:w="1380" w:type="dxa"/>
            <w:tcBorders>
              <w:top w:val="single" w:sz="4" w:space="0" w:color="auto"/>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b/>
                <w:bCs/>
                <w:color w:val="000000"/>
              </w:rPr>
            </w:pPr>
            <w:r w:rsidRPr="003E6DC9">
              <w:rPr>
                <w:rFonts w:ascii="Calibri" w:eastAsia="Times New Roman" w:hAnsi="Calibri" w:cs="Times New Roman"/>
                <w:b/>
                <w:bCs/>
                <w:color w:val="000000"/>
              </w:rPr>
              <w:t>Conductivity (m/day)</w:t>
            </w:r>
          </w:p>
        </w:tc>
        <w:tc>
          <w:tcPr>
            <w:tcW w:w="1020" w:type="dxa"/>
            <w:tcBorders>
              <w:top w:val="single" w:sz="4" w:space="0" w:color="auto"/>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b/>
                <w:bCs/>
                <w:color w:val="000000"/>
              </w:rPr>
            </w:pPr>
            <w:r w:rsidRPr="003E6DC9">
              <w:rPr>
                <w:rFonts w:ascii="Calibri" w:eastAsia="Times New Roman" w:hAnsi="Calibri" w:cs="Times New Roman"/>
                <w:b/>
                <w:bCs/>
                <w:color w:val="000000"/>
              </w:rPr>
              <w:t>Thickness (m)</w:t>
            </w:r>
          </w:p>
        </w:tc>
        <w:tc>
          <w:tcPr>
            <w:tcW w:w="1500" w:type="dxa"/>
            <w:tcBorders>
              <w:top w:val="single" w:sz="4" w:space="0" w:color="auto"/>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b/>
                <w:bCs/>
                <w:color w:val="000000"/>
              </w:rPr>
            </w:pPr>
            <w:r w:rsidRPr="003E6DC9">
              <w:rPr>
                <w:rFonts w:ascii="Calibri" w:eastAsia="Times New Roman" w:hAnsi="Calibri" w:cs="Times New Roman"/>
                <w:b/>
                <w:bCs/>
                <w:color w:val="000000"/>
              </w:rPr>
              <w:t>Transmissivity (m</w:t>
            </w:r>
            <w:r w:rsidRPr="00FF2D0F">
              <w:rPr>
                <w:rFonts w:ascii="Calibri" w:eastAsia="Times New Roman" w:hAnsi="Calibri" w:cs="Times New Roman"/>
                <w:b/>
                <w:bCs/>
                <w:color w:val="000000"/>
                <w:vertAlign w:val="superscript"/>
              </w:rPr>
              <w:t>2</w:t>
            </w:r>
            <w:r w:rsidRPr="003E6DC9">
              <w:rPr>
                <w:rFonts w:ascii="Calibri" w:eastAsia="Times New Roman" w:hAnsi="Calibri" w:cs="Times New Roman"/>
                <w:b/>
                <w:bCs/>
                <w:color w:val="000000"/>
              </w:rPr>
              <w:t>/day)</w:t>
            </w:r>
          </w:p>
        </w:tc>
        <w:tc>
          <w:tcPr>
            <w:tcW w:w="1620" w:type="dxa"/>
            <w:tcBorders>
              <w:top w:val="single" w:sz="4" w:space="0" w:color="auto"/>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b/>
                <w:bCs/>
                <w:color w:val="000000"/>
              </w:rPr>
            </w:pPr>
            <w:r w:rsidRPr="003E6DC9">
              <w:rPr>
                <w:rFonts w:ascii="Calibri" w:eastAsia="Times New Roman" w:hAnsi="Calibri" w:cs="Times New Roman"/>
                <w:b/>
                <w:bCs/>
                <w:color w:val="000000"/>
              </w:rPr>
              <w:t>% of Transmissivity</w:t>
            </w:r>
          </w:p>
        </w:tc>
      </w:tr>
      <w:tr w:rsidR="003E6DC9" w:rsidRPr="003E6DC9" w:rsidTr="003E6DC9">
        <w:trPr>
          <w:trHeight w:val="285"/>
        </w:trPr>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rPr>
                <w:rFonts w:ascii="Calibri" w:eastAsia="Times New Roman" w:hAnsi="Calibri" w:cs="Times New Roman"/>
                <w:color w:val="000000"/>
              </w:rPr>
            </w:pPr>
            <w:r w:rsidRPr="003E6DC9">
              <w:rPr>
                <w:rFonts w:ascii="Calibri" w:eastAsia="Times New Roman" w:hAnsi="Calibri" w:cs="Times New Roman"/>
                <w:color w:val="000000"/>
              </w:rPr>
              <w:t>A</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67.5</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55.8</w:t>
            </w:r>
          </w:p>
        </w:tc>
        <w:tc>
          <w:tcPr>
            <w:tcW w:w="138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267</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12</w:t>
            </w:r>
          </w:p>
        </w:tc>
        <w:tc>
          <w:tcPr>
            <w:tcW w:w="150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3124</w:t>
            </w:r>
          </w:p>
        </w:tc>
        <w:tc>
          <w:tcPr>
            <w:tcW w:w="162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13.0</w:t>
            </w:r>
          </w:p>
        </w:tc>
      </w:tr>
      <w:tr w:rsidR="003E6DC9" w:rsidRPr="003E6DC9" w:rsidTr="003E6DC9">
        <w:trPr>
          <w:trHeight w:val="285"/>
        </w:trPr>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rPr>
                <w:rFonts w:ascii="Calibri" w:eastAsia="Times New Roman" w:hAnsi="Calibri" w:cs="Times New Roman"/>
                <w:color w:val="000000"/>
              </w:rPr>
            </w:pPr>
            <w:r w:rsidRPr="003E6DC9">
              <w:rPr>
                <w:rFonts w:ascii="Calibri" w:eastAsia="Times New Roman" w:hAnsi="Calibri" w:cs="Times New Roman"/>
                <w:color w:val="000000"/>
              </w:rPr>
              <w:t>B</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55.8</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45.8</w:t>
            </w:r>
          </w:p>
        </w:tc>
        <w:tc>
          <w:tcPr>
            <w:tcW w:w="138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416</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10</w:t>
            </w:r>
          </w:p>
        </w:tc>
        <w:tc>
          <w:tcPr>
            <w:tcW w:w="150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4160</w:t>
            </w:r>
          </w:p>
        </w:tc>
        <w:tc>
          <w:tcPr>
            <w:tcW w:w="162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17.3</w:t>
            </w:r>
          </w:p>
        </w:tc>
      </w:tr>
      <w:tr w:rsidR="003E6DC9" w:rsidRPr="003E6DC9" w:rsidTr="003E6DC9">
        <w:trPr>
          <w:trHeight w:val="285"/>
        </w:trPr>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rPr>
                <w:rFonts w:ascii="Calibri" w:eastAsia="Times New Roman" w:hAnsi="Calibri" w:cs="Times New Roman"/>
                <w:color w:val="000000"/>
              </w:rPr>
            </w:pPr>
            <w:r w:rsidRPr="003E6DC9">
              <w:rPr>
                <w:rFonts w:ascii="Calibri" w:eastAsia="Times New Roman" w:hAnsi="Calibri" w:cs="Times New Roman"/>
                <w:color w:val="000000"/>
              </w:rPr>
              <w:t>C</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45.8</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33.8</w:t>
            </w:r>
          </w:p>
        </w:tc>
        <w:tc>
          <w:tcPr>
            <w:tcW w:w="138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11</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12</w:t>
            </w:r>
          </w:p>
        </w:tc>
        <w:tc>
          <w:tcPr>
            <w:tcW w:w="150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132</w:t>
            </w:r>
          </w:p>
        </w:tc>
        <w:tc>
          <w:tcPr>
            <w:tcW w:w="162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0.5</w:t>
            </w:r>
          </w:p>
        </w:tc>
      </w:tr>
      <w:tr w:rsidR="003E6DC9" w:rsidRPr="003E6DC9" w:rsidTr="003E6DC9">
        <w:trPr>
          <w:trHeight w:val="285"/>
        </w:trPr>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rPr>
                <w:rFonts w:ascii="Calibri" w:eastAsia="Times New Roman" w:hAnsi="Calibri" w:cs="Times New Roman"/>
                <w:color w:val="000000"/>
              </w:rPr>
            </w:pPr>
            <w:r w:rsidRPr="003E6DC9">
              <w:rPr>
                <w:rFonts w:ascii="Calibri" w:eastAsia="Times New Roman" w:hAnsi="Calibri" w:cs="Times New Roman"/>
                <w:color w:val="000000"/>
              </w:rPr>
              <w:t>D</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33.8</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8.5</w:t>
            </w:r>
          </w:p>
        </w:tc>
        <w:tc>
          <w:tcPr>
            <w:tcW w:w="138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233</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25</w:t>
            </w:r>
          </w:p>
        </w:tc>
        <w:tc>
          <w:tcPr>
            <w:tcW w:w="150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5895</w:t>
            </w:r>
          </w:p>
        </w:tc>
        <w:tc>
          <w:tcPr>
            <w:tcW w:w="162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24.5</w:t>
            </w:r>
          </w:p>
        </w:tc>
      </w:tr>
      <w:tr w:rsidR="003E6DC9" w:rsidRPr="003E6DC9" w:rsidTr="003E6DC9">
        <w:trPr>
          <w:trHeight w:val="285"/>
        </w:trPr>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rPr>
                <w:rFonts w:ascii="Calibri" w:eastAsia="Times New Roman" w:hAnsi="Calibri" w:cs="Times New Roman"/>
                <w:color w:val="000000"/>
              </w:rPr>
            </w:pPr>
            <w:r w:rsidRPr="003E6DC9">
              <w:rPr>
                <w:rFonts w:ascii="Calibri" w:eastAsia="Times New Roman" w:hAnsi="Calibri" w:cs="Times New Roman"/>
                <w:color w:val="000000"/>
              </w:rPr>
              <w:t>E</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8.5</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0.1</w:t>
            </w:r>
          </w:p>
        </w:tc>
        <w:tc>
          <w:tcPr>
            <w:tcW w:w="138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161</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8</w:t>
            </w:r>
          </w:p>
        </w:tc>
        <w:tc>
          <w:tcPr>
            <w:tcW w:w="150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1352</w:t>
            </w:r>
          </w:p>
        </w:tc>
        <w:tc>
          <w:tcPr>
            <w:tcW w:w="162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5.6</w:t>
            </w:r>
          </w:p>
        </w:tc>
      </w:tr>
      <w:tr w:rsidR="003E6DC9" w:rsidRPr="003E6DC9" w:rsidTr="003E6DC9">
        <w:trPr>
          <w:trHeight w:val="285"/>
        </w:trPr>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rPr>
                <w:rFonts w:ascii="Calibri" w:eastAsia="Times New Roman" w:hAnsi="Calibri" w:cs="Times New Roman"/>
                <w:color w:val="000000"/>
              </w:rPr>
            </w:pPr>
            <w:r w:rsidRPr="003E6DC9">
              <w:rPr>
                <w:rFonts w:ascii="Calibri" w:eastAsia="Times New Roman" w:hAnsi="Calibri" w:cs="Times New Roman"/>
                <w:color w:val="000000"/>
              </w:rPr>
              <w:t>F</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0.1</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-80</w:t>
            </w:r>
          </w:p>
        </w:tc>
        <w:tc>
          <w:tcPr>
            <w:tcW w:w="138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115</w:t>
            </w:r>
          </w:p>
        </w:tc>
        <w:tc>
          <w:tcPr>
            <w:tcW w:w="1020" w:type="dxa"/>
            <w:tcBorders>
              <w:top w:val="nil"/>
              <w:left w:val="nil"/>
              <w:bottom w:val="nil"/>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80</w:t>
            </w:r>
          </w:p>
        </w:tc>
        <w:tc>
          <w:tcPr>
            <w:tcW w:w="150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9212</w:t>
            </w:r>
          </w:p>
        </w:tc>
        <w:tc>
          <w:tcPr>
            <w:tcW w:w="1620" w:type="dxa"/>
            <w:tcBorders>
              <w:top w:val="nil"/>
              <w:left w:val="nil"/>
              <w:bottom w:val="nil"/>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38.3</w:t>
            </w:r>
          </w:p>
        </w:tc>
      </w:tr>
      <w:tr w:rsidR="003E6DC9" w:rsidRPr="003E6DC9" w:rsidTr="00FF2D0F">
        <w:trPr>
          <w:trHeight w:val="285"/>
        </w:trPr>
        <w:tc>
          <w:tcPr>
            <w:tcW w:w="1020" w:type="dxa"/>
            <w:tcBorders>
              <w:top w:val="nil"/>
              <w:left w:val="nil"/>
              <w:bottom w:val="single" w:sz="4" w:space="0" w:color="auto"/>
              <w:right w:val="nil"/>
            </w:tcBorders>
            <w:shd w:val="clear" w:color="auto" w:fill="auto"/>
            <w:vAlign w:val="center"/>
            <w:hideMark/>
          </w:tcPr>
          <w:p w:rsidR="003E6DC9" w:rsidRPr="003E6DC9" w:rsidRDefault="003E6DC9" w:rsidP="003E6DC9">
            <w:pPr>
              <w:spacing w:after="0" w:line="240" w:lineRule="auto"/>
              <w:rPr>
                <w:rFonts w:ascii="Calibri" w:eastAsia="Times New Roman" w:hAnsi="Calibri" w:cs="Times New Roman"/>
                <w:color w:val="000000"/>
              </w:rPr>
            </w:pPr>
            <w:r w:rsidRPr="003E6DC9">
              <w:rPr>
                <w:rFonts w:ascii="Calibri" w:eastAsia="Times New Roman" w:hAnsi="Calibri" w:cs="Times New Roman"/>
                <w:color w:val="000000"/>
              </w:rPr>
              <w:t>G</w:t>
            </w:r>
          </w:p>
        </w:tc>
        <w:tc>
          <w:tcPr>
            <w:tcW w:w="1020" w:type="dxa"/>
            <w:tcBorders>
              <w:top w:val="nil"/>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-80</w:t>
            </w:r>
          </w:p>
        </w:tc>
        <w:tc>
          <w:tcPr>
            <w:tcW w:w="1020" w:type="dxa"/>
            <w:tcBorders>
              <w:top w:val="nil"/>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-225</w:t>
            </w:r>
          </w:p>
        </w:tc>
        <w:tc>
          <w:tcPr>
            <w:tcW w:w="1380" w:type="dxa"/>
            <w:tcBorders>
              <w:top w:val="nil"/>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w:t>
            </w:r>
          </w:p>
        </w:tc>
        <w:tc>
          <w:tcPr>
            <w:tcW w:w="1020" w:type="dxa"/>
            <w:tcBorders>
              <w:top w:val="nil"/>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145</w:t>
            </w:r>
          </w:p>
        </w:tc>
        <w:tc>
          <w:tcPr>
            <w:tcW w:w="1500" w:type="dxa"/>
            <w:tcBorders>
              <w:top w:val="nil"/>
              <w:left w:val="nil"/>
              <w:bottom w:val="single" w:sz="4" w:space="0" w:color="auto"/>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145</w:t>
            </w:r>
          </w:p>
        </w:tc>
        <w:tc>
          <w:tcPr>
            <w:tcW w:w="1620" w:type="dxa"/>
            <w:tcBorders>
              <w:top w:val="nil"/>
              <w:left w:val="nil"/>
              <w:bottom w:val="single" w:sz="4" w:space="0" w:color="auto"/>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0.6</w:t>
            </w:r>
          </w:p>
        </w:tc>
      </w:tr>
      <w:tr w:rsidR="003E6DC9" w:rsidRPr="003E6DC9" w:rsidTr="00FF2D0F">
        <w:trPr>
          <w:trHeight w:val="285"/>
        </w:trPr>
        <w:tc>
          <w:tcPr>
            <w:tcW w:w="1020" w:type="dxa"/>
            <w:tcBorders>
              <w:top w:val="single" w:sz="4" w:space="0" w:color="auto"/>
              <w:left w:val="nil"/>
              <w:bottom w:val="single" w:sz="4" w:space="0" w:color="auto"/>
              <w:right w:val="nil"/>
            </w:tcBorders>
            <w:shd w:val="clear" w:color="auto" w:fill="auto"/>
            <w:vAlign w:val="center"/>
            <w:hideMark/>
          </w:tcPr>
          <w:p w:rsidR="003E6DC9" w:rsidRPr="003E6DC9" w:rsidRDefault="003E6DC9" w:rsidP="003E6DC9">
            <w:pPr>
              <w:spacing w:after="0" w:line="240" w:lineRule="auto"/>
              <w:rPr>
                <w:rFonts w:ascii="Calibri" w:eastAsia="Times New Roman" w:hAnsi="Calibri" w:cs="Times New Roman"/>
                <w:color w:val="000000"/>
              </w:rPr>
            </w:pPr>
            <w:r w:rsidRPr="003E6DC9">
              <w:rPr>
                <w:rFonts w:ascii="Calibri" w:eastAsia="Times New Roman" w:hAnsi="Calibri" w:cs="Times New Roman"/>
                <w:color w:val="000000"/>
              </w:rPr>
              <w:t>Total</w:t>
            </w:r>
          </w:p>
        </w:tc>
        <w:tc>
          <w:tcPr>
            <w:tcW w:w="1020" w:type="dxa"/>
            <w:tcBorders>
              <w:top w:val="single" w:sz="4" w:space="0" w:color="auto"/>
              <w:left w:val="nil"/>
              <w:bottom w:val="single" w:sz="4" w:space="0" w:color="auto"/>
              <w:right w:val="nil"/>
            </w:tcBorders>
            <w:shd w:val="clear" w:color="auto" w:fill="auto"/>
            <w:noWrap/>
            <w:vAlign w:val="bottom"/>
            <w:hideMark/>
          </w:tcPr>
          <w:p w:rsidR="003E6DC9" w:rsidRPr="003E6DC9" w:rsidRDefault="003E6DC9" w:rsidP="003E6DC9">
            <w:pPr>
              <w:spacing w:after="0" w:line="240" w:lineRule="auto"/>
              <w:rPr>
                <w:rFonts w:ascii="Calibri" w:eastAsia="Times New Roman" w:hAnsi="Calibri" w:cs="Times New Roman"/>
                <w:color w:val="000000"/>
              </w:rPr>
            </w:pPr>
          </w:p>
        </w:tc>
        <w:tc>
          <w:tcPr>
            <w:tcW w:w="1020" w:type="dxa"/>
            <w:tcBorders>
              <w:top w:val="single" w:sz="4" w:space="0" w:color="auto"/>
              <w:left w:val="nil"/>
              <w:bottom w:val="single" w:sz="4" w:space="0" w:color="auto"/>
              <w:right w:val="nil"/>
            </w:tcBorders>
            <w:shd w:val="clear" w:color="auto" w:fill="auto"/>
            <w:noWrap/>
            <w:vAlign w:val="bottom"/>
            <w:hideMark/>
          </w:tcPr>
          <w:p w:rsidR="003E6DC9" w:rsidRPr="003E6DC9" w:rsidRDefault="003E6DC9" w:rsidP="003E6DC9">
            <w:pPr>
              <w:spacing w:after="0" w:line="240" w:lineRule="auto"/>
              <w:rPr>
                <w:rFonts w:ascii="Times New Roman" w:eastAsia="Times New Roman" w:hAnsi="Times New Roman" w:cs="Times New Roman"/>
                <w:sz w:val="20"/>
                <w:szCs w:val="20"/>
              </w:rPr>
            </w:pPr>
          </w:p>
        </w:tc>
        <w:tc>
          <w:tcPr>
            <w:tcW w:w="1380" w:type="dxa"/>
            <w:tcBorders>
              <w:top w:val="single" w:sz="4" w:space="0" w:color="auto"/>
              <w:left w:val="nil"/>
              <w:bottom w:val="single" w:sz="4" w:space="0" w:color="auto"/>
              <w:right w:val="nil"/>
            </w:tcBorders>
            <w:shd w:val="clear" w:color="auto" w:fill="auto"/>
            <w:noWrap/>
            <w:vAlign w:val="bottom"/>
            <w:hideMark/>
          </w:tcPr>
          <w:p w:rsidR="003E6DC9" w:rsidRPr="003E6DC9" w:rsidRDefault="003E6DC9" w:rsidP="003E6DC9">
            <w:pPr>
              <w:spacing w:after="0" w:line="240" w:lineRule="auto"/>
              <w:rPr>
                <w:rFonts w:ascii="Times New Roman" w:eastAsia="Times New Roman" w:hAnsi="Times New Roman" w:cs="Times New Roman"/>
                <w:sz w:val="20"/>
                <w:szCs w:val="20"/>
              </w:rPr>
            </w:pPr>
          </w:p>
        </w:tc>
        <w:tc>
          <w:tcPr>
            <w:tcW w:w="1020" w:type="dxa"/>
            <w:tcBorders>
              <w:top w:val="single" w:sz="4" w:space="0" w:color="auto"/>
              <w:left w:val="nil"/>
              <w:bottom w:val="single" w:sz="4" w:space="0" w:color="auto"/>
              <w:right w:val="nil"/>
            </w:tcBorders>
            <w:shd w:val="clear" w:color="auto" w:fill="auto"/>
            <w:vAlign w:val="center"/>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293</w:t>
            </w:r>
          </w:p>
        </w:tc>
        <w:tc>
          <w:tcPr>
            <w:tcW w:w="1500" w:type="dxa"/>
            <w:tcBorders>
              <w:top w:val="single" w:sz="4" w:space="0" w:color="auto"/>
              <w:left w:val="nil"/>
              <w:bottom w:val="single" w:sz="4" w:space="0" w:color="auto"/>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r w:rsidRPr="003E6DC9">
              <w:rPr>
                <w:rFonts w:ascii="Calibri" w:eastAsia="Times New Roman" w:hAnsi="Calibri" w:cs="Times New Roman"/>
                <w:color w:val="000000"/>
              </w:rPr>
              <w:t>24020</w:t>
            </w:r>
          </w:p>
        </w:tc>
        <w:tc>
          <w:tcPr>
            <w:tcW w:w="1620" w:type="dxa"/>
            <w:tcBorders>
              <w:top w:val="single" w:sz="4" w:space="0" w:color="auto"/>
              <w:left w:val="nil"/>
              <w:bottom w:val="single" w:sz="4" w:space="0" w:color="auto"/>
              <w:right w:val="nil"/>
            </w:tcBorders>
            <w:shd w:val="clear" w:color="auto" w:fill="auto"/>
            <w:noWrap/>
            <w:vAlign w:val="bottom"/>
            <w:hideMark/>
          </w:tcPr>
          <w:p w:rsidR="003E6DC9" w:rsidRPr="003E6DC9" w:rsidRDefault="003E6DC9" w:rsidP="003E6DC9">
            <w:pPr>
              <w:spacing w:after="0" w:line="240" w:lineRule="auto"/>
              <w:jc w:val="right"/>
              <w:rPr>
                <w:rFonts w:ascii="Calibri" w:eastAsia="Times New Roman" w:hAnsi="Calibri" w:cs="Times New Roman"/>
                <w:color w:val="000000"/>
              </w:rPr>
            </w:pPr>
          </w:p>
        </w:tc>
      </w:tr>
    </w:tbl>
    <w:p w:rsidR="00F860FB" w:rsidRPr="00FF2D0F" w:rsidRDefault="004953E4" w:rsidP="00F860FB">
      <w:pPr>
        <w:rPr>
          <w:b/>
        </w:rPr>
      </w:pPr>
      <w:r>
        <w:rPr>
          <w:b/>
        </w:rPr>
        <w:br/>
      </w:r>
      <w:r w:rsidR="0032083F" w:rsidRPr="00FF2D0F">
        <w:rPr>
          <w:b/>
        </w:rPr>
        <w:t>Aquifer Layer Table for Model_Grid Cell (I,J) = (110,101)</w:t>
      </w:r>
    </w:p>
    <w:p w:rsidR="0064507B" w:rsidRPr="0032083F" w:rsidRDefault="0032083F">
      <w:pPr>
        <w:rPr>
          <w:i/>
        </w:rPr>
      </w:pPr>
      <w:r w:rsidRPr="0032083F">
        <w:rPr>
          <w:i/>
        </w:rPr>
        <w:t>To be turned in: Prepare an aquifer layer table like the one above for the Model_Grid cell that contains the observation well that you chose for Question 2.</w:t>
      </w:r>
    </w:p>
    <w:p w:rsidR="005A37ED" w:rsidRPr="001E0DFA" w:rsidRDefault="0064507B" w:rsidP="005A37ED">
      <w:pPr>
        <w:pStyle w:val="ListParagraph"/>
        <w:numPr>
          <w:ilvl w:val="0"/>
          <w:numId w:val="1"/>
        </w:numPr>
        <w:rPr>
          <w:rFonts w:asciiTheme="majorHAnsi" w:hAnsiTheme="majorHAnsi"/>
          <w:b/>
          <w:noProof/>
          <w:sz w:val="28"/>
          <w:szCs w:val="28"/>
        </w:rPr>
      </w:pPr>
      <w:r w:rsidRPr="001E0DFA">
        <w:rPr>
          <w:rFonts w:asciiTheme="majorHAnsi" w:hAnsiTheme="majorHAnsi"/>
          <w:b/>
          <w:noProof/>
          <w:sz w:val="28"/>
          <w:szCs w:val="28"/>
        </w:rPr>
        <w:t>Water Level Map</w:t>
      </w:r>
      <w:r w:rsidR="001E0DFA" w:rsidRPr="001E0DFA">
        <w:rPr>
          <w:rFonts w:asciiTheme="majorHAnsi" w:hAnsiTheme="majorHAnsi"/>
          <w:b/>
          <w:noProof/>
          <w:sz w:val="28"/>
          <w:szCs w:val="28"/>
        </w:rPr>
        <w:t xml:space="preserve"> and Travel Time in the Aquifer</w:t>
      </w:r>
    </w:p>
    <w:p w:rsidR="0064507B" w:rsidRPr="00272D4B" w:rsidRDefault="00272D4B" w:rsidP="0064507B">
      <w:pPr>
        <w:rPr>
          <w:noProof/>
        </w:rPr>
      </w:pPr>
      <w:r w:rsidRPr="00272D4B">
        <w:rPr>
          <w:noProof/>
        </w:rPr>
        <w:t xml:space="preserve">When </w:t>
      </w:r>
      <w:r>
        <w:rPr>
          <w:noProof/>
        </w:rPr>
        <w:t xml:space="preserve">water levels are measured in wells, the Reference Level is the level of the top of the well.  This elevation is measured above Geodetic Datum, using a GPS unit or land surveying.  From that point, all measurements are made down from the top of the well.  The water level in the well reflects the </w:t>
      </w:r>
      <w:r w:rsidR="00134797">
        <w:rPr>
          <w:noProof/>
        </w:rPr>
        <w:t xml:space="preserve">hydraulic </w:t>
      </w:r>
      <w:r>
        <w:rPr>
          <w:noProof/>
        </w:rPr>
        <w:t>pressure that exists in the aquifer in which the well screen is located.</w:t>
      </w:r>
    </w:p>
    <w:p w:rsidR="005948A4" w:rsidRDefault="00272D4B">
      <w:r>
        <w:rPr>
          <w:noProof/>
        </w:rPr>
        <w:drawing>
          <wp:inline distT="0" distB="0" distL="0" distR="0">
            <wp:extent cx="5637221" cy="3128962"/>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42835" cy="3132078"/>
                    </a:xfrm>
                    <a:prstGeom prst="rect">
                      <a:avLst/>
                    </a:prstGeom>
                    <a:noFill/>
                    <a:ln>
                      <a:noFill/>
                    </a:ln>
                  </pic:spPr>
                </pic:pic>
              </a:graphicData>
            </a:graphic>
          </wp:inline>
        </w:drawing>
      </w:r>
    </w:p>
    <w:p w:rsidR="005D1A6B" w:rsidRDefault="00134797">
      <w:r>
        <w:t>We are going to make a water level map (or piezometric head map) from the average water levels</w:t>
      </w:r>
      <w:r w:rsidR="005D1A6B">
        <w:t xml:space="preserve"> recorded in the ECan monitoring wells.  These levels are averaged through time over the period of record of measurements from each well.  We are also not allowing for different hydraulic pressures that </w:t>
      </w:r>
      <w:r w:rsidR="005D1A6B">
        <w:lastRenderedPageBreak/>
        <w:t>may exist in the difference aquifers.   Please bear in mind these simplifications as we do this part of the exercise.</w:t>
      </w:r>
    </w:p>
    <w:p w:rsidR="00235367" w:rsidRDefault="00235367">
      <w:r>
        <w:t xml:space="preserve">From the original data provided for the exercise, add the Excel Spreadsheet </w:t>
      </w:r>
      <w:r w:rsidRPr="00235367">
        <w:rPr>
          <w:b/>
        </w:rPr>
        <w:t>01_Grand_average</w:t>
      </w:r>
      <w:r>
        <w:t xml:space="preserve"> to ArcMap.  Choose worksheet </w:t>
      </w:r>
      <w:r w:rsidRPr="00235367">
        <w:rPr>
          <w:b/>
        </w:rPr>
        <w:t>Query$4</w:t>
      </w:r>
      <w:r>
        <w:t>.</w:t>
      </w:r>
    </w:p>
    <w:p w:rsidR="00B51739" w:rsidRDefault="00B51739">
      <w:r>
        <w:rPr>
          <w:noProof/>
        </w:rPr>
        <w:drawing>
          <wp:inline distT="0" distB="0" distL="0" distR="0">
            <wp:extent cx="5943600" cy="160972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1609725"/>
                    </a:xfrm>
                    <a:prstGeom prst="rect">
                      <a:avLst/>
                    </a:prstGeom>
                    <a:noFill/>
                    <a:ln w="3175">
                      <a:solidFill>
                        <a:schemeClr val="bg1">
                          <a:lumMod val="65000"/>
                        </a:schemeClr>
                      </a:solidFill>
                    </a:ln>
                  </pic:spPr>
                </pic:pic>
              </a:graphicData>
            </a:graphic>
          </wp:inline>
        </w:drawing>
      </w:r>
    </w:p>
    <w:p w:rsidR="00235367" w:rsidRDefault="00235367">
      <w:r>
        <w:t xml:space="preserve">Right click on this table and Export the Table as </w:t>
      </w:r>
      <w:r w:rsidRPr="00235367">
        <w:rPr>
          <w:b/>
        </w:rPr>
        <w:t xml:space="preserve">AverageLevel </w:t>
      </w:r>
      <w:r>
        <w:t xml:space="preserve">in the </w:t>
      </w:r>
      <w:r w:rsidRPr="00235367">
        <w:rPr>
          <w:b/>
        </w:rPr>
        <w:t xml:space="preserve">Canterbury </w:t>
      </w:r>
      <w:r>
        <w:t>geodatabase (cannot put this in the Groundwater feature dataset because that only holds feature classes not simple tables).</w:t>
      </w:r>
    </w:p>
    <w:p w:rsidR="00235367" w:rsidRDefault="00235367"/>
    <w:p w:rsidR="00235367" w:rsidRDefault="00235367">
      <w:r>
        <w:rPr>
          <w:noProof/>
        </w:rPr>
        <w:drawing>
          <wp:inline distT="0" distB="0" distL="0" distR="0" wp14:anchorId="500023C4" wp14:editId="5D303CE1">
            <wp:extent cx="3576638" cy="2327491"/>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86312" cy="2333787"/>
                    </a:xfrm>
                    <a:prstGeom prst="rect">
                      <a:avLst/>
                    </a:prstGeom>
                  </pic:spPr>
                </pic:pic>
              </a:graphicData>
            </a:graphic>
          </wp:inline>
        </w:drawing>
      </w:r>
    </w:p>
    <w:p w:rsidR="00235367" w:rsidRDefault="00235367">
      <w:r>
        <w:t>Now, we’ve got a Feature Class of Wells and a Table that stores the AverageLevel recorded in each well.</w:t>
      </w:r>
    </w:p>
    <w:p w:rsidR="00235367" w:rsidRDefault="00235367">
      <w:r>
        <w:rPr>
          <w:noProof/>
        </w:rPr>
        <w:drawing>
          <wp:inline distT="0" distB="0" distL="0" distR="0">
            <wp:extent cx="1295400" cy="995680"/>
            <wp:effectExtent l="19050" t="19050" r="19050" b="139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95400" cy="995680"/>
                    </a:xfrm>
                    <a:prstGeom prst="rect">
                      <a:avLst/>
                    </a:prstGeom>
                    <a:noFill/>
                    <a:ln w="3175">
                      <a:solidFill>
                        <a:schemeClr val="bg1">
                          <a:lumMod val="65000"/>
                        </a:schemeClr>
                      </a:solidFill>
                    </a:ln>
                  </pic:spPr>
                </pic:pic>
              </a:graphicData>
            </a:graphic>
          </wp:inline>
        </w:drawing>
      </w:r>
    </w:p>
    <w:p w:rsidR="00235367" w:rsidRDefault="00235367">
      <w:r>
        <w:t xml:space="preserve">Now let’s Join these two tables using the </w:t>
      </w:r>
      <w:r w:rsidRPr="002F05C4">
        <w:rPr>
          <w:b/>
        </w:rPr>
        <w:t>WellIndex</w:t>
      </w:r>
      <w:r>
        <w:t xml:space="preserve"> </w:t>
      </w:r>
      <w:r w:rsidR="002F05C4">
        <w:t xml:space="preserve">field </w:t>
      </w:r>
      <w:r>
        <w:t>present in bo</w:t>
      </w:r>
      <w:r w:rsidR="00910FBC">
        <w:t>th tables as a common key field.</w:t>
      </w:r>
    </w:p>
    <w:p w:rsidR="00235367" w:rsidRDefault="00235367">
      <w:r>
        <w:rPr>
          <w:noProof/>
        </w:rPr>
        <w:lastRenderedPageBreak/>
        <w:drawing>
          <wp:inline distT="0" distB="0" distL="0" distR="0">
            <wp:extent cx="4400550" cy="2195830"/>
            <wp:effectExtent l="19050" t="19050" r="19050" b="139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00550" cy="2195830"/>
                    </a:xfrm>
                    <a:prstGeom prst="rect">
                      <a:avLst/>
                    </a:prstGeom>
                    <a:noFill/>
                    <a:ln w="3175">
                      <a:solidFill>
                        <a:schemeClr val="bg1">
                          <a:lumMod val="65000"/>
                        </a:schemeClr>
                      </a:solidFill>
                    </a:ln>
                  </pic:spPr>
                </pic:pic>
              </a:graphicData>
            </a:graphic>
          </wp:inline>
        </w:drawing>
      </w:r>
    </w:p>
    <w:p w:rsidR="00910FBC" w:rsidRDefault="00910FBC">
      <w:pPr>
        <w:rPr>
          <w:b/>
        </w:rPr>
      </w:pPr>
      <w:r>
        <w:t xml:space="preserve">Right click on the Wells feature class and select </w:t>
      </w:r>
      <w:r w:rsidRPr="00ED583F">
        <w:rPr>
          <w:b/>
        </w:rPr>
        <w:t>Joins and Relates</w:t>
      </w:r>
      <w:r w:rsidR="00ED583F" w:rsidRPr="00ED583F">
        <w:rPr>
          <w:b/>
        </w:rPr>
        <w:t>/Join</w:t>
      </w:r>
    </w:p>
    <w:p w:rsidR="00ED583F" w:rsidRPr="00ED583F" w:rsidRDefault="00ED583F">
      <w:r w:rsidRPr="00ED583F">
        <w:t xml:space="preserve">Use </w:t>
      </w:r>
      <w:r w:rsidRPr="002F05C4">
        <w:rPr>
          <w:b/>
        </w:rPr>
        <w:t>AverageLevel</w:t>
      </w:r>
      <w:r w:rsidRPr="00ED583F">
        <w:t xml:space="preserve"> as the </w:t>
      </w:r>
      <w:r>
        <w:t xml:space="preserve">Table you want to join and </w:t>
      </w:r>
      <w:r w:rsidRPr="002F05C4">
        <w:rPr>
          <w:b/>
        </w:rPr>
        <w:t>WellIndex</w:t>
      </w:r>
      <w:r>
        <w:t xml:space="preserve"> as the field with common values between the two tables that will establish their association.</w:t>
      </w:r>
    </w:p>
    <w:p w:rsidR="00235367" w:rsidRDefault="00910FBC">
      <w:r>
        <w:rPr>
          <w:noProof/>
        </w:rPr>
        <w:drawing>
          <wp:inline distT="0" distB="0" distL="0" distR="0">
            <wp:extent cx="3757930" cy="3072130"/>
            <wp:effectExtent l="19050" t="19050" r="13970" b="139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57930" cy="3072130"/>
                    </a:xfrm>
                    <a:prstGeom prst="rect">
                      <a:avLst/>
                    </a:prstGeom>
                    <a:noFill/>
                    <a:ln w="3175">
                      <a:solidFill>
                        <a:schemeClr val="bg1">
                          <a:lumMod val="65000"/>
                        </a:schemeClr>
                      </a:solidFill>
                    </a:ln>
                  </pic:spPr>
                </pic:pic>
              </a:graphicData>
            </a:graphic>
          </wp:inline>
        </w:drawing>
      </w:r>
    </w:p>
    <w:p w:rsidR="00ED583F" w:rsidRDefault="00ED583F">
      <w:r>
        <w:t>Now, when you navigate over to the right hand side of the Wells Attribute table, you’ll see more fields that have been added since the Join was made.</w:t>
      </w:r>
    </w:p>
    <w:p w:rsidR="00ED583F" w:rsidRDefault="00ED583F">
      <w:r>
        <w:rPr>
          <w:noProof/>
        </w:rPr>
        <w:lastRenderedPageBreak/>
        <w:drawing>
          <wp:inline distT="0" distB="0" distL="0" distR="0" wp14:anchorId="52411EF7" wp14:editId="1A347023">
            <wp:extent cx="5943600" cy="230949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309495"/>
                    </a:xfrm>
                    <a:prstGeom prst="rect">
                      <a:avLst/>
                    </a:prstGeom>
                  </pic:spPr>
                </pic:pic>
              </a:graphicData>
            </a:graphic>
          </wp:inline>
        </w:drawing>
      </w:r>
    </w:p>
    <w:p w:rsidR="00ED583F" w:rsidRDefault="00ED583F">
      <w:r>
        <w:t xml:space="preserve">Now, let’s make a new field to compute the </w:t>
      </w:r>
      <w:r w:rsidRPr="00ED583F">
        <w:rPr>
          <w:b/>
        </w:rPr>
        <w:t>Water</w:t>
      </w:r>
      <w:r>
        <w:rPr>
          <w:b/>
        </w:rPr>
        <w:t xml:space="preserve"> </w:t>
      </w:r>
      <w:r w:rsidRPr="00ED583F">
        <w:rPr>
          <w:b/>
        </w:rPr>
        <w:t xml:space="preserve">Level </w:t>
      </w:r>
      <w:r w:rsidRPr="002F05C4">
        <w:rPr>
          <w:b/>
        </w:rPr>
        <w:t>above geodetic datum</w:t>
      </w:r>
      <w:r>
        <w:t>.</w:t>
      </w:r>
    </w:p>
    <w:p w:rsidR="00ED583F" w:rsidRDefault="00ED583F">
      <w:r>
        <w:t xml:space="preserve">In the top left of the Attribute Table, Select </w:t>
      </w:r>
      <w:r w:rsidRPr="00ED583F">
        <w:rPr>
          <w:b/>
        </w:rPr>
        <w:t>Add Field</w:t>
      </w:r>
    </w:p>
    <w:p w:rsidR="00ED583F" w:rsidRDefault="00ED583F">
      <w:r>
        <w:rPr>
          <w:noProof/>
        </w:rPr>
        <w:drawing>
          <wp:inline distT="0" distB="0" distL="0" distR="0">
            <wp:extent cx="3672205" cy="2295525"/>
            <wp:effectExtent l="19050" t="19050" r="23495"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72205" cy="2295525"/>
                    </a:xfrm>
                    <a:prstGeom prst="rect">
                      <a:avLst/>
                    </a:prstGeom>
                    <a:noFill/>
                    <a:ln w="3175">
                      <a:solidFill>
                        <a:schemeClr val="bg1">
                          <a:lumMod val="65000"/>
                        </a:schemeClr>
                      </a:solidFill>
                    </a:ln>
                  </pic:spPr>
                </pic:pic>
              </a:graphicData>
            </a:graphic>
          </wp:inline>
        </w:drawing>
      </w:r>
    </w:p>
    <w:p w:rsidR="00ED583F" w:rsidRDefault="00ED583F">
      <w:r>
        <w:t xml:space="preserve">Call this field </w:t>
      </w:r>
      <w:r w:rsidRPr="00ED583F">
        <w:rPr>
          <w:b/>
        </w:rPr>
        <w:t>WaterLevelAboveGD</w:t>
      </w:r>
      <w:r>
        <w:t xml:space="preserve"> and make its </w:t>
      </w:r>
      <w:r w:rsidRPr="004F3818">
        <w:rPr>
          <w:b/>
        </w:rPr>
        <w:t>Type Double</w:t>
      </w:r>
      <w:r>
        <w:t>.</w:t>
      </w:r>
    </w:p>
    <w:p w:rsidR="00ED583F" w:rsidRDefault="00ED583F">
      <w:r>
        <w:rPr>
          <w:noProof/>
        </w:rPr>
        <w:lastRenderedPageBreak/>
        <w:drawing>
          <wp:inline distT="0" distB="0" distL="0" distR="0" wp14:anchorId="0A6D0E25" wp14:editId="4D39732D">
            <wp:extent cx="2557462" cy="254000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65827" cy="2548313"/>
                    </a:xfrm>
                    <a:prstGeom prst="rect">
                      <a:avLst/>
                    </a:prstGeom>
                  </pic:spPr>
                </pic:pic>
              </a:graphicData>
            </a:graphic>
          </wp:inline>
        </w:drawing>
      </w:r>
    </w:p>
    <w:p w:rsidR="004F3818" w:rsidRDefault="004F3818">
      <w:r>
        <w:t xml:space="preserve">In this new field, open the </w:t>
      </w:r>
      <w:r w:rsidRPr="004F3818">
        <w:rPr>
          <w:b/>
        </w:rPr>
        <w:t>Field Calculator</w:t>
      </w:r>
    </w:p>
    <w:p w:rsidR="004F3818" w:rsidRDefault="004F3818">
      <w:r>
        <w:rPr>
          <w:noProof/>
        </w:rPr>
        <w:drawing>
          <wp:inline distT="0" distB="0" distL="0" distR="0">
            <wp:extent cx="2357755" cy="2295525"/>
            <wp:effectExtent l="19050" t="19050" r="2349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57755" cy="2295525"/>
                    </a:xfrm>
                    <a:prstGeom prst="rect">
                      <a:avLst/>
                    </a:prstGeom>
                    <a:noFill/>
                    <a:ln w="3175">
                      <a:solidFill>
                        <a:schemeClr val="bg1">
                          <a:lumMod val="65000"/>
                        </a:schemeClr>
                      </a:solidFill>
                    </a:ln>
                  </pic:spPr>
                </pic:pic>
              </a:graphicData>
            </a:graphic>
          </wp:inline>
        </w:drawing>
      </w:r>
    </w:p>
    <w:p w:rsidR="003E6DC9" w:rsidRDefault="003E6DC9">
      <w:r>
        <w:t xml:space="preserve">And add together the </w:t>
      </w:r>
      <w:r w:rsidRPr="003E6DC9">
        <w:rPr>
          <w:b/>
        </w:rPr>
        <w:t>Reference_RL</w:t>
      </w:r>
      <w:r>
        <w:t xml:space="preserve"> (elevation of top of well above Geodetic Datum) and the </w:t>
      </w:r>
      <w:r w:rsidRPr="003E6DC9">
        <w:rPr>
          <w:b/>
        </w:rPr>
        <w:t>Average_Water_Level</w:t>
      </w:r>
      <w:r>
        <w:t xml:space="preserve"> (drop from top of well to the water level as a negative number).</w:t>
      </w:r>
    </w:p>
    <w:p w:rsidR="003E6DC9" w:rsidRDefault="003E6DC9">
      <w:r>
        <w:rPr>
          <w:noProof/>
        </w:rPr>
        <w:drawing>
          <wp:inline distT="0" distB="0" distL="0" distR="0">
            <wp:extent cx="3605530" cy="676275"/>
            <wp:effectExtent l="19050" t="19050" r="1397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05530" cy="676275"/>
                    </a:xfrm>
                    <a:prstGeom prst="rect">
                      <a:avLst/>
                    </a:prstGeom>
                    <a:noFill/>
                    <a:ln w="3175">
                      <a:solidFill>
                        <a:schemeClr val="bg1">
                          <a:lumMod val="65000"/>
                        </a:schemeClr>
                      </a:solidFill>
                    </a:ln>
                  </pic:spPr>
                </pic:pic>
              </a:graphicData>
            </a:graphic>
          </wp:inline>
        </w:drawing>
      </w:r>
    </w:p>
    <w:p w:rsidR="004F3818" w:rsidRDefault="004F3818">
      <w:r>
        <w:t>Now</w:t>
      </w:r>
      <w:r w:rsidR="003E6DC9">
        <w:t xml:space="preserve"> we have Average Water Level in the well above Geodetic datum.</w:t>
      </w:r>
    </w:p>
    <w:p w:rsidR="004F3818" w:rsidRDefault="004F3818">
      <w:r>
        <w:rPr>
          <w:noProof/>
        </w:rPr>
        <w:lastRenderedPageBreak/>
        <w:drawing>
          <wp:inline distT="0" distB="0" distL="0" distR="0">
            <wp:extent cx="1662430" cy="1500505"/>
            <wp:effectExtent l="19050" t="19050" r="13970" b="234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62430" cy="1500505"/>
                    </a:xfrm>
                    <a:prstGeom prst="rect">
                      <a:avLst/>
                    </a:prstGeom>
                    <a:noFill/>
                    <a:ln w="3175">
                      <a:solidFill>
                        <a:schemeClr val="bg1">
                          <a:lumMod val="65000"/>
                        </a:schemeClr>
                      </a:solidFill>
                    </a:ln>
                  </pic:spPr>
                </pic:pic>
              </a:graphicData>
            </a:graphic>
          </wp:inline>
        </w:drawing>
      </w:r>
    </w:p>
    <w:p w:rsidR="000A05F9" w:rsidRDefault="000A05F9">
      <w:r>
        <w:t xml:space="preserve">In </w:t>
      </w:r>
      <w:r w:rsidRPr="000A05F9">
        <w:rPr>
          <w:b/>
        </w:rPr>
        <w:t>Customize/Extensions</w:t>
      </w:r>
      <w:r>
        <w:t xml:space="preserve"> make sure the </w:t>
      </w:r>
      <w:r w:rsidRPr="000A05F9">
        <w:rPr>
          <w:b/>
        </w:rPr>
        <w:t>Spatial Analyst</w:t>
      </w:r>
      <w:r>
        <w:t xml:space="preserve"> extension is turned on</w:t>
      </w:r>
    </w:p>
    <w:p w:rsidR="001D7067" w:rsidRDefault="001D7067">
      <w:r>
        <w:rPr>
          <w:noProof/>
        </w:rPr>
        <w:drawing>
          <wp:inline distT="0" distB="0" distL="0" distR="0">
            <wp:extent cx="1552575" cy="1500505"/>
            <wp:effectExtent l="19050" t="19050" r="28575" b="2349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52575" cy="1500505"/>
                    </a:xfrm>
                    <a:prstGeom prst="rect">
                      <a:avLst/>
                    </a:prstGeom>
                    <a:noFill/>
                    <a:ln w="3175">
                      <a:solidFill>
                        <a:schemeClr val="bg1">
                          <a:lumMod val="65000"/>
                        </a:schemeClr>
                      </a:solidFill>
                    </a:ln>
                  </pic:spPr>
                </pic:pic>
              </a:graphicData>
            </a:graphic>
          </wp:inline>
        </w:drawing>
      </w:r>
    </w:p>
    <w:p w:rsidR="000A05F9" w:rsidRDefault="002F05C4">
      <w:r>
        <w:rPr>
          <w:noProof/>
        </w:rPr>
        <w:drawing>
          <wp:inline distT="0" distB="0" distL="0" distR="0">
            <wp:extent cx="1866900" cy="1676400"/>
            <wp:effectExtent l="19050" t="19050" r="19050"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66900" cy="1676400"/>
                    </a:xfrm>
                    <a:prstGeom prst="rect">
                      <a:avLst/>
                    </a:prstGeom>
                    <a:noFill/>
                    <a:ln w="3175">
                      <a:solidFill>
                        <a:schemeClr val="bg1">
                          <a:lumMod val="65000"/>
                        </a:schemeClr>
                      </a:solidFill>
                    </a:ln>
                  </pic:spPr>
                </pic:pic>
              </a:graphicData>
            </a:graphic>
          </wp:inline>
        </w:drawing>
      </w:r>
    </w:p>
    <w:p w:rsidR="000A05F9" w:rsidRDefault="000A05F9">
      <w:r>
        <w:t xml:space="preserve">Now let’s draw a water level map using the </w:t>
      </w:r>
      <w:r w:rsidRPr="000A05F9">
        <w:rPr>
          <w:b/>
        </w:rPr>
        <w:t>Inverse Distance Weighting (IDW)</w:t>
      </w:r>
      <w:r>
        <w:t xml:space="preserve"> method.  Search for IDW in the Search tab at the top right of ArcMap. </w:t>
      </w:r>
    </w:p>
    <w:p w:rsidR="000A05F9" w:rsidRDefault="000A05F9">
      <w:r>
        <w:rPr>
          <w:noProof/>
        </w:rPr>
        <w:drawing>
          <wp:inline distT="0" distB="0" distL="0" distR="0">
            <wp:extent cx="1200150" cy="16859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00150" cy="1685925"/>
                    </a:xfrm>
                    <a:prstGeom prst="rect">
                      <a:avLst/>
                    </a:prstGeom>
                    <a:noFill/>
                    <a:ln>
                      <a:noFill/>
                    </a:ln>
                  </pic:spPr>
                </pic:pic>
              </a:graphicData>
            </a:graphic>
          </wp:inline>
        </w:drawing>
      </w:r>
    </w:p>
    <w:p w:rsidR="00005FAE" w:rsidRDefault="001D7067">
      <w:r>
        <w:t>Open</w:t>
      </w:r>
      <w:r w:rsidR="00005FAE">
        <w:t xml:space="preserve"> the IDW tool</w:t>
      </w:r>
      <w:r w:rsidR="0058035C">
        <w:t xml:space="preserve"> and use </w:t>
      </w:r>
      <w:r w:rsidR="0058035C" w:rsidRPr="0058035C">
        <w:rPr>
          <w:b/>
        </w:rPr>
        <w:t>Wells</w:t>
      </w:r>
      <w:r w:rsidR="0058035C">
        <w:t xml:space="preserve"> as the Input Point Features, and Z value field as </w:t>
      </w:r>
      <w:r w:rsidR="0058035C" w:rsidRPr="0058035C">
        <w:rPr>
          <w:b/>
        </w:rPr>
        <w:t>WaterLevelAboveGD</w:t>
      </w:r>
      <w:r w:rsidR="0058035C">
        <w:rPr>
          <w:b/>
        </w:rPr>
        <w:t>.</w:t>
      </w:r>
    </w:p>
    <w:p w:rsidR="001D7067" w:rsidRDefault="0058035C">
      <w:r>
        <w:rPr>
          <w:noProof/>
        </w:rPr>
        <w:lastRenderedPageBreak/>
        <w:drawing>
          <wp:inline distT="0" distB="0" distL="0" distR="0">
            <wp:extent cx="3253105" cy="1743075"/>
            <wp:effectExtent l="19050" t="19050" r="23495"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53105" cy="1743075"/>
                    </a:xfrm>
                    <a:prstGeom prst="rect">
                      <a:avLst/>
                    </a:prstGeom>
                    <a:noFill/>
                    <a:ln w="3175">
                      <a:solidFill>
                        <a:schemeClr val="bg1">
                          <a:lumMod val="65000"/>
                        </a:schemeClr>
                      </a:solidFill>
                    </a:ln>
                  </pic:spPr>
                </pic:pic>
              </a:graphicData>
            </a:graphic>
          </wp:inline>
        </w:drawing>
      </w:r>
    </w:p>
    <w:p w:rsidR="0058035C" w:rsidRDefault="0058035C">
      <w:r>
        <w:rPr>
          <w:noProof/>
        </w:rPr>
        <w:drawing>
          <wp:inline distT="0" distB="0" distL="0" distR="0">
            <wp:extent cx="5934075" cy="1933575"/>
            <wp:effectExtent l="19050" t="19050" r="2857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4075" cy="1933575"/>
                    </a:xfrm>
                    <a:prstGeom prst="rect">
                      <a:avLst/>
                    </a:prstGeom>
                    <a:noFill/>
                    <a:ln w="3175">
                      <a:solidFill>
                        <a:schemeClr val="bg1">
                          <a:lumMod val="65000"/>
                        </a:schemeClr>
                      </a:solidFill>
                    </a:ln>
                  </pic:spPr>
                </pic:pic>
              </a:graphicData>
            </a:graphic>
          </wp:inline>
        </w:drawing>
      </w:r>
    </w:p>
    <w:p w:rsidR="0058035C" w:rsidRDefault="0058035C">
      <w:r>
        <w:t>Color the map in shades of Blue and make the Display have 50% transparency so you can see other things below the map.</w:t>
      </w:r>
    </w:p>
    <w:p w:rsidR="001D7067" w:rsidRDefault="00B1482D">
      <w:r>
        <w:rPr>
          <w:noProof/>
        </w:rPr>
        <w:drawing>
          <wp:inline distT="0" distB="0" distL="0" distR="0">
            <wp:extent cx="3876629" cy="2853694"/>
            <wp:effectExtent l="19050" t="19050" r="10160" b="228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82388" cy="2857933"/>
                    </a:xfrm>
                    <a:prstGeom prst="rect">
                      <a:avLst/>
                    </a:prstGeom>
                    <a:noFill/>
                    <a:ln w="3175">
                      <a:solidFill>
                        <a:schemeClr val="bg1">
                          <a:lumMod val="65000"/>
                        </a:schemeClr>
                      </a:solidFill>
                    </a:ln>
                  </pic:spPr>
                </pic:pic>
              </a:graphicData>
            </a:graphic>
          </wp:inline>
        </w:drawing>
      </w:r>
    </w:p>
    <w:p w:rsidR="001D7067" w:rsidRDefault="00B1482D">
      <w:r>
        <w:t xml:space="preserve">And you’ll get a rather nice map that shows how groundwater levels are higher near the mountains and diminish towards the coast in a fairly uniform pattern. </w:t>
      </w:r>
    </w:p>
    <w:p w:rsidR="001D7067" w:rsidRDefault="001D7067" w:rsidP="001D7067">
      <w:r>
        <w:t xml:space="preserve">Export the </w:t>
      </w:r>
      <w:r w:rsidRPr="00B97418">
        <w:rPr>
          <w:b/>
        </w:rPr>
        <w:t>WaterLevelMap</w:t>
      </w:r>
      <w:r>
        <w:t xml:space="preserve"> grid to the Canterbury geodatabase.</w:t>
      </w:r>
    </w:p>
    <w:p w:rsidR="001D7067" w:rsidRDefault="001D7067">
      <w:r>
        <w:rPr>
          <w:noProof/>
        </w:rPr>
        <w:lastRenderedPageBreak/>
        <w:drawing>
          <wp:inline distT="0" distB="0" distL="0" distR="0" wp14:anchorId="3C967BA5" wp14:editId="741231FE">
            <wp:extent cx="5133975" cy="1900555"/>
            <wp:effectExtent l="19050" t="19050" r="28575" b="234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33975" cy="1900555"/>
                    </a:xfrm>
                    <a:prstGeom prst="rect">
                      <a:avLst/>
                    </a:prstGeom>
                    <a:noFill/>
                    <a:ln w="3175">
                      <a:solidFill>
                        <a:schemeClr val="bg1">
                          <a:lumMod val="65000"/>
                        </a:schemeClr>
                      </a:solidFill>
                    </a:ln>
                  </pic:spPr>
                </pic:pic>
              </a:graphicData>
            </a:graphic>
          </wp:inline>
        </w:drawing>
      </w:r>
    </w:p>
    <w:p w:rsidR="00B1482D" w:rsidRDefault="00B1482D">
      <w:r>
        <w:t xml:space="preserve">Add the </w:t>
      </w:r>
      <w:r w:rsidRPr="00B1482D">
        <w:rPr>
          <w:b/>
        </w:rPr>
        <w:t>RiverLines</w:t>
      </w:r>
      <w:r>
        <w:t xml:space="preserve"> for the Selwyn catchment that we used in Exercise 3.  Zoom in again to the area downstream of well </w:t>
      </w:r>
      <w:r w:rsidRPr="00B1482D">
        <w:rPr>
          <w:b/>
        </w:rPr>
        <w:t>L36/2175</w:t>
      </w:r>
      <w:r>
        <w:t xml:space="preserve"> </w:t>
      </w:r>
    </w:p>
    <w:p w:rsidR="00B1482D" w:rsidRDefault="00B1482D">
      <w:r>
        <w:rPr>
          <w:noProof/>
        </w:rPr>
        <w:drawing>
          <wp:inline distT="0" distB="0" distL="0" distR="0">
            <wp:extent cx="4597060" cy="28384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98664" cy="2839440"/>
                    </a:xfrm>
                    <a:prstGeom prst="rect">
                      <a:avLst/>
                    </a:prstGeom>
                    <a:noFill/>
                    <a:ln>
                      <a:noFill/>
                    </a:ln>
                  </pic:spPr>
                </pic:pic>
              </a:graphicData>
            </a:graphic>
          </wp:inline>
        </w:drawing>
      </w:r>
    </w:p>
    <w:p w:rsidR="00B1482D" w:rsidRDefault="00B1482D">
      <w:r>
        <w:t xml:space="preserve">Open the </w:t>
      </w:r>
      <w:r w:rsidRPr="00B1482D">
        <w:rPr>
          <w:b/>
        </w:rPr>
        <w:t>Measure</w:t>
      </w:r>
      <w:r>
        <w:t xml:space="preserve"> tool in ArcMap</w:t>
      </w:r>
    </w:p>
    <w:p w:rsidR="00B1482D" w:rsidRDefault="00B1482D">
      <w:r>
        <w:rPr>
          <w:noProof/>
        </w:rPr>
        <w:drawing>
          <wp:inline distT="0" distB="0" distL="0" distR="0">
            <wp:extent cx="1195705" cy="981075"/>
            <wp:effectExtent l="19050" t="19050" r="23495"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5705" cy="981075"/>
                    </a:xfrm>
                    <a:prstGeom prst="rect">
                      <a:avLst/>
                    </a:prstGeom>
                    <a:noFill/>
                    <a:ln w="3175">
                      <a:solidFill>
                        <a:schemeClr val="bg1">
                          <a:lumMod val="65000"/>
                        </a:schemeClr>
                      </a:solidFill>
                    </a:ln>
                  </pic:spPr>
                </pic:pic>
              </a:graphicData>
            </a:graphic>
          </wp:inline>
        </w:drawing>
      </w:r>
    </w:p>
    <w:p w:rsidR="00B1482D" w:rsidRDefault="001D7067">
      <w:r>
        <w:t>a</w:t>
      </w:r>
      <w:r w:rsidR="00B1482D">
        <w:t xml:space="preserve">nd set the </w:t>
      </w:r>
      <w:r w:rsidR="00B1482D" w:rsidRPr="00B1482D">
        <w:rPr>
          <w:b/>
        </w:rPr>
        <w:t>Distance</w:t>
      </w:r>
      <w:r w:rsidR="00B1482D">
        <w:t xml:space="preserve"> measure in </w:t>
      </w:r>
      <w:r w:rsidR="00B1482D" w:rsidRPr="00B1482D">
        <w:rPr>
          <w:b/>
        </w:rPr>
        <w:t>meters</w:t>
      </w:r>
      <w:r w:rsidR="00B1482D">
        <w:t>.</w:t>
      </w:r>
    </w:p>
    <w:p w:rsidR="00B1482D" w:rsidRDefault="00B1482D">
      <w:r>
        <w:rPr>
          <w:noProof/>
        </w:rPr>
        <w:lastRenderedPageBreak/>
        <w:drawing>
          <wp:inline distT="0" distB="0" distL="0" distR="0">
            <wp:extent cx="2776855" cy="1567180"/>
            <wp:effectExtent l="19050" t="19050" r="23495" b="139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76855" cy="1567180"/>
                    </a:xfrm>
                    <a:prstGeom prst="rect">
                      <a:avLst/>
                    </a:prstGeom>
                    <a:noFill/>
                    <a:ln w="3175">
                      <a:solidFill>
                        <a:schemeClr val="bg1">
                          <a:lumMod val="65000"/>
                        </a:schemeClr>
                      </a:solidFill>
                    </a:ln>
                  </pic:spPr>
                </pic:pic>
              </a:graphicData>
            </a:graphic>
          </wp:inline>
        </w:drawing>
      </w:r>
    </w:p>
    <w:p w:rsidR="00B1482D" w:rsidRDefault="00B1482D">
      <w:r>
        <w:t xml:space="preserve">The straight line </w:t>
      </w:r>
      <w:r w:rsidR="00B97418">
        <w:t xml:space="preserve">measure between this well and Te Waihora/Lake Ellesmere is </w:t>
      </w:r>
      <w:r w:rsidR="00B97418" w:rsidRPr="00B97418">
        <w:rPr>
          <w:b/>
        </w:rPr>
        <w:t>17,099 meters</w:t>
      </w:r>
    </w:p>
    <w:p w:rsidR="000A05F9" w:rsidRDefault="00B97418">
      <w:r>
        <w:rPr>
          <w:noProof/>
        </w:rPr>
        <w:drawing>
          <wp:inline distT="0" distB="0" distL="0" distR="0">
            <wp:extent cx="5934075" cy="3257550"/>
            <wp:effectExtent l="19050" t="19050" r="28575"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4075" cy="3257550"/>
                    </a:xfrm>
                    <a:prstGeom prst="rect">
                      <a:avLst/>
                    </a:prstGeom>
                    <a:noFill/>
                    <a:ln w="3175">
                      <a:solidFill>
                        <a:schemeClr val="bg1">
                          <a:lumMod val="65000"/>
                        </a:schemeClr>
                      </a:solidFill>
                    </a:ln>
                  </pic:spPr>
                </pic:pic>
              </a:graphicData>
            </a:graphic>
          </wp:inline>
        </w:drawing>
      </w:r>
    </w:p>
    <w:p w:rsidR="00B97418" w:rsidRDefault="00B97418">
      <w:r>
        <w:t xml:space="preserve">If you query the WaterLevelMap near the L36/2175 well, you’ll get a value of approximately 61 meters </w:t>
      </w:r>
    </w:p>
    <w:p w:rsidR="00B97418" w:rsidRDefault="00B97418">
      <w:r>
        <w:rPr>
          <w:noProof/>
        </w:rPr>
        <w:drawing>
          <wp:inline distT="0" distB="0" distL="0" distR="0">
            <wp:extent cx="1990725" cy="1590675"/>
            <wp:effectExtent l="19050" t="19050" r="28575"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90725" cy="1590675"/>
                    </a:xfrm>
                    <a:prstGeom prst="rect">
                      <a:avLst/>
                    </a:prstGeom>
                    <a:noFill/>
                    <a:ln w="3175">
                      <a:solidFill>
                        <a:schemeClr val="bg1">
                          <a:lumMod val="65000"/>
                        </a:schemeClr>
                      </a:solidFill>
                    </a:ln>
                  </pic:spPr>
                </pic:pic>
              </a:graphicData>
            </a:graphic>
          </wp:inline>
        </w:drawing>
      </w:r>
    </w:p>
    <w:p w:rsidR="00B97418" w:rsidRDefault="00B97418">
      <w:r>
        <w:t>And if you similarly query the WaterLevelMap near Te Waihora/Lake Ellesmere, you’ll get a value of about 7 meters. Since Te Waihora/Lake Ellesmere is at approximately sea level (Geodetic Datum ~ 0), what this means is that the aquifer is artesian and water flows freely from wells without being pumped when you are near the coast.</w:t>
      </w:r>
    </w:p>
    <w:p w:rsidR="00B97418" w:rsidRDefault="00B97418">
      <w:r>
        <w:rPr>
          <w:noProof/>
        </w:rPr>
        <w:lastRenderedPageBreak/>
        <w:drawing>
          <wp:inline distT="0" distB="0" distL="0" distR="0">
            <wp:extent cx="2405380" cy="1590675"/>
            <wp:effectExtent l="19050" t="19050" r="13970"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05380" cy="1590675"/>
                    </a:xfrm>
                    <a:prstGeom prst="rect">
                      <a:avLst/>
                    </a:prstGeom>
                    <a:noFill/>
                    <a:ln w="3175">
                      <a:solidFill>
                        <a:schemeClr val="bg1">
                          <a:lumMod val="65000"/>
                        </a:schemeClr>
                      </a:solidFill>
                    </a:ln>
                  </pic:spPr>
                </pic:pic>
              </a:graphicData>
            </a:graphic>
          </wp:inline>
        </w:drawing>
      </w:r>
    </w:p>
    <w:p w:rsidR="001D7067" w:rsidRDefault="00303128">
      <w:r>
        <w:t>We can compute the slope of the WaterLevelMap along this line as</w:t>
      </w:r>
    </w:p>
    <w:p w:rsidR="001D7067" w:rsidRDefault="00A3482B">
      <m:oMathPara>
        <m:oMath>
          <m:f>
            <m:fPr>
              <m:ctrlPr>
                <w:rPr>
                  <w:rFonts w:ascii="Cambria Math" w:hAnsi="Cambria Math"/>
                  <w:i/>
                </w:rPr>
              </m:ctrlPr>
            </m:fPr>
            <m:num>
              <m:r>
                <w:rPr>
                  <w:rFonts w:ascii="Cambria Math" w:hAnsi="Cambria Math"/>
                </w:rPr>
                <m:t>dh</m:t>
              </m:r>
            </m:num>
            <m:den>
              <m:r>
                <w:rPr>
                  <w:rFonts w:ascii="Cambria Math" w:hAnsi="Cambria Math"/>
                </w:rPr>
                <m:t>dL</m:t>
              </m:r>
            </m:den>
          </m:f>
          <m:r>
            <w:rPr>
              <w:rFonts w:ascii="Cambria Math" w:hAnsi="Cambria Math"/>
            </w:rPr>
            <m:t>=</m:t>
          </m:r>
          <m:f>
            <m:fPr>
              <m:ctrlPr>
                <w:rPr>
                  <w:rFonts w:ascii="Cambria Math" w:hAnsi="Cambria Math"/>
                  <w:i/>
                </w:rPr>
              </m:ctrlPr>
            </m:fPr>
            <m:num>
              <m:r>
                <w:rPr>
                  <w:rFonts w:ascii="Cambria Math" w:hAnsi="Cambria Math"/>
                </w:rPr>
                <m:t>61.43-7.35</m:t>
              </m:r>
            </m:num>
            <m:den>
              <m:r>
                <w:rPr>
                  <w:rFonts w:ascii="Cambria Math" w:hAnsi="Cambria Math"/>
                </w:rPr>
                <m:t>17099</m:t>
              </m:r>
            </m:den>
          </m:f>
          <m:r>
            <w:rPr>
              <w:rFonts w:ascii="Cambria Math" w:hAnsi="Cambria Math"/>
            </w:rPr>
            <m:t>=0.003163</m:t>
          </m:r>
          <m:r>
            <w:rPr>
              <w:rFonts w:ascii="Cambria Math" w:hAnsi="Cambria Math"/>
            </w:rPr>
            <m:t xml:space="preserve"> m/m</m:t>
          </m:r>
        </m:oMath>
      </m:oMathPara>
    </w:p>
    <w:p w:rsidR="00A3482B" w:rsidRDefault="00303128">
      <w:r>
        <w:t>This means that the fall of the water level</w:t>
      </w:r>
      <w:r w:rsidR="00A3482B">
        <w:t xml:space="preserve"> (dh)</w:t>
      </w:r>
      <w:r>
        <w:t xml:space="preserve"> is about 3 meters per km of flow distance</w:t>
      </w:r>
      <w:r w:rsidR="00A3482B">
        <w:t xml:space="preserve"> (dL)</w:t>
      </w:r>
      <w:r>
        <w:t>. If we take this gradient and multiply it by an estimate of the average conductivity that we worked out earlier (82 meters/day), you get a measure of the Darcy Velocity</w:t>
      </w:r>
    </w:p>
    <w:p w:rsidR="00A3482B" w:rsidRDefault="00A3482B">
      <m:oMathPara>
        <m:oMath>
          <m:r>
            <w:rPr>
              <w:rFonts w:ascii="Cambria Math" w:hAnsi="Cambria Math"/>
            </w:rPr>
            <m:t>q=</m:t>
          </m:r>
          <m:sSub>
            <m:sSubPr>
              <m:ctrlPr>
                <w:rPr>
                  <w:rFonts w:ascii="Cambria Math" w:hAnsi="Cambria Math"/>
                  <w:i/>
                </w:rPr>
              </m:ctrlPr>
            </m:sSubPr>
            <m:e>
              <m:r>
                <w:rPr>
                  <w:rFonts w:ascii="Cambria Math" w:hAnsi="Cambria Math"/>
                </w:rPr>
                <m:t>K</m:t>
              </m:r>
            </m:e>
            <m:sub>
              <m:r>
                <w:rPr>
                  <w:rFonts w:ascii="Cambria Math" w:hAnsi="Cambria Math"/>
                </w:rPr>
                <m:t>avg</m:t>
              </m:r>
            </m:sub>
          </m:sSub>
          <m:f>
            <m:fPr>
              <m:ctrlPr>
                <w:rPr>
                  <w:rFonts w:ascii="Cambria Math" w:hAnsi="Cambria Math"/>
                  <w:i/>
                </w:rPr>
              </m:ctrlPr>
            </m:fPr>
            <m:num>
              <m:r>
                <w:rPr>
                  <w:rFonts w:ascii="Cambria Math" w:hAnsi="Cambria Math"/>
                </w:rPr>
                <m:t>dh</m:t>
              </m:r>
            </m:num>
            <m:den>
              <m:r>
                <w:rPr>
                  <w:rFonts w:ascii="Cambria Math" w:hAnsi="Cambria Math"/>
                </w:rPr>
                <m:t>dL</m:t>
              </m:r>
            </m:den>
          </m:f>
          <m:r>
            <w:rPr>
              <w:rFonts w:ascii="Cambria Math" w:hAnsi="Cambria Math"/>
            </w:rPr>
            <m:t>=82*0.003163=0.259 m/day</m:t>
          </m:r>
        </m:oMath>
      </m:oMathPara>
    </w:p>
    <w:p w:rsidR="00A3482B" w:rsidRDefault="00A3482B">
      <w:r>
        <w:t>a</w:t>
      </w:r>
      <w:r w:rsidR="00303128">
        <w:t>nd if we divide the Darcy Velocity by the average porosity</w:t>
      </w:r>
      <w:r w:rsidR="009E2983">
        <w:t>, n,</w:t>
      </w:r>
      <w:r w:rsidR="00303128">
        <w:t xml:space="preserve"> of about 0.1, we get an estimate</w:t>
      </w:r>
      <w:r>
        <w:t xml:space="preserve"> of the actual seepage velocity V</w:t>
      </w:r>
      <w:r w:rsidRPr="00A3482B">
        <w:rPr>
          <w:vertAlign w:val="subscript"/>
        </w:rPr>
        <w:t>s</w:t>
      </w:r>
      <w:r>
        <w:t xml:space="preserve"> </w:t>
      </w:r>
      <w:r w:rsidR="00303128">
        <w:t>of water in this aquifer</w:t>
      </w:r>
    </w:p>
    <w:p w:rsidR="00A3482B" w:rsidRDefault="009E2983">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q</m:t>
              </m:r>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0.259</m:t>
              </m:r>
            </m:num>
            <m:den>
              <m:r>
                <w:rPr>
                  <w:rFonts w:ascii="Cambria Math" w:hAnsi="Cambria Math"/>
                </w:rPr>
                <m:t>0.1</m:t>
              </m:r>
            </m:den>
          </m:f>
          <m:r>
            <w:rPr>
              <w:rFonts w:ascii="Cambria Math" w:hAnsi="Cambria Math"/>
            </w:rPr>
            <m:t>=2.59 m/day</m:t>
          </m:r>
        </m:oMath>
      </m:oMathPara>
    </w:p>
    <w:p w:rsidR="009E2983" w:rsidRDefault="00303128">
      <w:r>
        <w:t>This means that water seeping through the aquifer from the area of Well L36/2175, would reach Te Waihora/Lake Ellesmere</w:t>
      </w:r>
      <w:r w:rsidR="009E2983">
        <w:t>:</w:t>
      </w:r>
    </w:p>
    <w:p w:rsidR="009E2983" w:rsidRDefault="009E2983">
      <m:oMathPara>
        <m:oMath>
          <m:r>
            <w:rPr>
              <w:rFonts w:ascii="Cambria Math" w:hAnsi="Cambria Math"/>
            </w:rPr>
            <m:t xml:space="preserve">Travel Time= </m:t>
          </m:r>
          <m:f>
            <m:fPr>
              <m:ctrlPr>
                <w:rPr>
                  <w:rFonts w:ascii="Cambria Math" w:hAnsi="Cambria Math"/>
                  <w:i/>
                </w:rPr>
              </m:ctrlPr>
            </m:fPr>
            <m:num>
              <m:r>
                <w:rPr>
                  <w:rFonts w:ascii="Cambria Math" w:hAnsi="Cambria Math"/>
                </w:rPr>
                <m:t>L</m:t>
              </m:r>
            </m:num>
            <m:den>
              <m:sSub>
                <m:sSubPr>
                  <m:ctrlPr>
                    <w:rPr>
                      <w:rFonts w:ascii="Cambria Math" w:hAnsi="Cambria Math"/>
                      <w:i/>
                    </w:rPr>
                  </m:ctrlPr>
                </m:sSubPr>
                <m:e>
                  <m:r>
                    <w:rPr>
                      <w:rFonts w:ascii="Cambria Math" w:hAnsi="Cambria Math"/>
                    </w:rPr>
                    <m:t>V</m:t>
                  </m:r>
                </m:e>
                <m:sub>
                  <m:r>
                    <w:rPr>
                      <w:rFonts w:ascii="Cambria Math" w:hAnsi="Cambria Math"/>
                    </w:rPr>
                    <m:t>s</m:t>
                  </m:r>
                </m:sub>
              </m:sSub>
            </m:den>
          </m:f>
          <m:r>
            <w:rPr>
              <w:rFonts w:ascii="Cambria Math" w:hAnsi="Cambria Math"/>
            </w:rPr>
            <m:t>=</m:t>
          </m:r>
          <m:f>
            <m:fPr>
              <m:ctrlPr>
                <w:rPr>
                  <w:rFonts w:ascii="Cambria Math" w:hAnsi="Cambria Math"/>
                  <w:i/>
                </w:rPr>
              </m:ctrlPr>
            </m:fPr>
            <m:num>
              <m:r>
                <w:rPr>
                  <w:rFonts w:ascii="Cambria Math" w:hAnsi="Cambria Math"/>
                </w:rPr>
                <m:t>17099</m:t>
              </m:r>
            </m:num>
            <m:den>
              <m:r>
                <w:rPr>
                  <w:rFonts w:ascii="Cambria Math" w:hAnsi="Cambria Math"/>
                </w:rPr>
                <m:t>2.59</m:t>
              </m:r>
            </m:den>
          </m:f>
          <m:r>
            <w:rPr>
              <w:rFonts w:ascii="Cambria Math" w:hAnsi="Cambria Math"/>
            </w:rPr>
            <m:t>=6593 days=18.1 years</m:t>
          </m:r>
        </m:oMath>
      </m:oMathPara>
    </w:p>
    <w:p w:rsidR="003E6DC9" w:rsidRDefault="00303128">
      <w:r>
        <w:t>If you compare this to the estimate of travel time in the adjacent Selwyn River that we did in Exercise 3,</w:t>
      </w:r>
      <w:r w:rsidR="009A6E3E">
        <w:t xml:space="preserve"> of about </w:t>
      </w:r>
      <w:r w:rsidR="009A6E3E" w:rsidRPr="009A6E3E">
        <w:rPr>
          <w:b/>
        </w:rPr>
        <w:t>2 hours</w:t>
      </w:r>
      <w:r>
        <w:t xml:space="preserve"> you can see the huge difference in travel times of </w:t>
      </w:r>
      <w:r w:rsidR="009A6E3E">
        <w:t>contaminants in surface and groundwater systems.</w:t>
      </w:r>
      <w:r w:rsidR="00983F16">
        <w:t xml:space="preserve">  Please bear in mind that the Selwyn aquifer is a 3D flow system and many approximations have been made to get the travel time estimate we’ve made here. More detailed modeling using Modflow and related programs is needed to get a more accurate estimate of this time.  </w:t>
      </w:r>
    </w:p>
    <w:p w:rsidR="00134797" w:rsidRPr="00983F16" w:rsidRDefault="009A6E3E">
      <w:pPr>
        <w:rPr>
          <w:i/>
        </w:rPr>
      </w:pPr>
      <w:r w:rsidRPr="009A6E3E">
        <w:rPr>
          <w:i/>
        </w:rPr>
        <w:t xml:space="preserve">To be turned in:  Make a WaterLevelMap of the Selwyn aquifer and estimate the travel time to Te Waihora/Lake Ellesmere from the well you chose in Question </w:t>
      </w:r>
      <w:r w:rsidR="00845131">
        <w:rPr>
          <w:i/>
        </w:rPr>
        <w:t>2</w:t>
      </w:r>
      <w:r w:rsidRPr="009A6E3E">
        <w:rPr>
          <w:i/>
        </w:rPr>
        <w:t xml:space="preserve">. </w:t>
      </w:r>
    </w:p>
    <w:p w:rsidR="001E0DFA" w:rsidRPr="001E0DFA" w:rsidRDefault="001E0DFA" w:rsidP="001E0DFA">
      <w:pPr>
        <w:pStyle w:val="ListParagraph"/>
        <w:numPr>
          <w:ilvl w:val="0"/>
          <w:numId w:val="5"/>
        </w:numPr>
        <w:rPr>
          <w:rFonts w:asciiTheme="majorHAnsi" w:hAnsiTheme="majorHAnsi"/>
          <w:b/>
          <w:noProof/>
          <w:sz w:val="28"/>
          <w:szCs w:val="28"/>
        </w:rPr>
      </w:pPr>
      <w:r w:rsidRPr="001E0DFA">
        <w:rPr>
          <w:rFonts w:asciiTheme="majorHAnsi" w:hAnsiTheme="majorHAnsi"/>
          <w:b/>
          <w:noProof/>
          <w:sz w:val="28"/>
          <w:szCs w:val="28"/>
        </w:rPr>
        <w:t>Items to be Turned In</w:t>
      </w:r>
    </w:p>
    <w:p w:rsidR="00580A37" w:rsidRDefault="0032083F" w:rsidP="00580A37">
      <w:pPr>
        <w:pStyle w:val="ListParagraph"/>
        <w:numPr>
          <w:ilvl w:val="0"/>
          <w:numId w:val="3"/>
        </w:numPr>
        <w:rPr>
          <w:i/>
        </w:rPr>
      </w:pPr>
      <w:r>
        <w:rPr>
          <w:i/>
        </w:rPr>
        <w:t>Make a</w:t>
      </w:r>
      <w:r w:rsidR="00580A37" w:rsidRPr="00580A37">
        <w:rPr>
          <w:i/>
        </w:rPr>
        <w:t xml:space="preserve"> map of the observation wells over the Selwyn aquifer. How many wells are there?  How many observations have been made at these wells (Hint: Use the Reading_Count attribute).  What is the average number of observations per well in the region?</w:t>
      </w:r>
    </w:p>
    <w:p w:rsidR="00F94EF5" w:rsidRDefault="00F94EF5" w:rsidP="00580A37">
      <w:pPr>
        <w:pStyle w:val="ListParagraph"/>
        <w:numPr>
          <w:ilvl w:val="0"/>
          <w:numId w:val="3"/>
        </w:numPr>
        <w:rPr>
          <w:i/>
        </w:rPr>
      </w:pPr>
      <w:r>
        <w:rPr>
          <w:i/>
        </w:rPr>
        <w:t>Choose another observation well from the dataset and prepare a similar description of it like the one you’ve seen above for L36/2175.  How does your well compare with L36/2175?</w:t>
      </w:r>
      <w:r w:rsidR="002D7AC5" w:rsidRPr="002D7AC5">
        <w:rPr>
          <w:i/>
        </w:rPr>
        <w:t xml:space="preserve"> </w:t>
      </w:r>
      <w:r w:rsidR="002D7AC5">
        <w:rPr>
          <w:i/>
        </w:rPr>
        <w:t xml:space="preserve">[Hint make </w:t>
      </w:r>
      <w:r w:rsidR="002D7AC5">
        <w:rPr>
          <w:i/>
        </w:rPr>
        <w:lastRenderedPageBreak/>
        <w:t>sure this well is upstream of Te Waihora/Lake Ellesmere because</w:t>
      </w:r>
      <w:r w:rsidR="001E0DFA">
        <w:rPr>
          <w:i/>
        </w:rPr>
        <w:t xml:space="preserve"> this</w:t>
      </w:r>
      <w:r w:rsidR="002D7AC5">
        <w:rPr>
          <w:i/>
        </w:rPr>
        <w:t xml:space="preserve"> is important for Question 4].</w:t>
      </w:r>
    </w:p>
    <w:p w:rsidR="0032083F" w:rsidRDefault="0032083F" w:rsidP="00580A37">
      <w:pPr>
        <w:pStyle w:val="ListParagraph"/>
        <w:numPr>
          <w:ilvl w:val="0"/>
          <w:numId w:val="3"/>
        </w:numPr>
        <w:rPr>
          <w:i/>
        </w:rPr>
      </w:pPr>
      <w:r w:rsidRPr="0032083F">
        <w:rPr>
          <w:i/>
        </w:rPr>
        <w:t>Prepare an aquifer layer table like the one above for the Model_Grid cell that contains the observation well that you chose for Question 2.</w:t>
      </w:r>
      <w:r>
        <w:rPr>
          <w:i/>
        </w:rPr>
        <w:t xml:space="preserve">  Does your cell have a greater or lesser transmissivity than the one I selected?</w:t>
      </w:r>
    </w:p>
    <w:p w:rsidR="00580A37" w:rsidRDefault="009A6E3E" w:rsidP="009A6E3E">
      <w:pPr>
        <w:pStyle w:val="ListParagraph"/>
        <w:numPr>
          <w:ilvl w:val="0"/>
          <w:numId w:val="3"/>
        </w:numPr>
      </w:pPr>
      <w:r w:rsidRPr="009A6E3E">
        <w:rPr>
          <w:i/>
        </w:rPr>
        <w:t xml:space="preserve">Make a WaterLevelMap of the Selwyn aquifer and estimate the travel time to Te Waihora/Lake Ellesmere from the well you chose in Question </w:t>
      </w:r>
      <w:r w:rsidR="00845131">
        <w:rPr>
          <w:i/>
        </w:rPr>
        <w:t>2</w:t>
      </w:r>
      <w:r w:rsidRPr="009A6E3E">
        <w:rPr>
          <w:i/>
        </w:rPr>
        <w:t>.</w:t>
      </w:r>
    </w:p>
    <w:p w:rsidR="00E60E3B" w:rsidRDefault="00C5039C">
      <w:r>
        <w:t xml:space="preserve">   </w:t>
      </w:r>
    </w:p>
    <w:sectPr w:rsidR="00E60E3B">
      <w:footerReference w:type="default" r:id="rId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3209" w:rsidRDefault="00023209" w:rsidP="000D3E6F">
      <w:pPr>
        <w:spacing w:after="0" w:line="240" w:lineRule="auto"/>
      </w:pPr>
      <w:r>
        <w:separator/>
      </w:r>
    </w:p>
  </w:endnote>
  <w:endnote w:type="continuationSeparator" w:id="0">
    <w:p w:rsidR="00023209" w:rsidRDefault="00023209" w:rsidP="000D3E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6858392"/>
      <w:docPartObj>
        <w:docPartGallery w:val="Page Numbers (Bottom of Page)"/>
        <w:docPartUnique/>
      </w:docPartObj>
    </w:sdtPr>
    <w:sdtEndPr>
      <w:rPr>
        <w:noProof/>
      </w:rPr>
    </w:sdtEndPr>
    <w:sdtContent>
      <w:p w:rsidR="00365389" w:rsidRDefault="00365389">
        <w:pPr>
          <w:pStyle w:val="Footer"/>
          <w:jc w:val="center"/>
        </w:pPr>
        <w:r>
          <w:fldChar w:fldCharType="begin"/>
        </w:r>
        <w:r>
          <w:instrText xml:space="preserve"> PAGE   \* MERGEFORMAT </w:instrText>
        </w:r>
        <w:r>
          <w:fldChar w:fldCharType="separate"/>
        </w:r>
        <w:r w:rsidR="00AF3F13">
          <w:rPr>
            <w:noProof/>
          </w:rPr>
          <w:t>1</w:t>
        </w:r>
        <w:r>
          <w:rPr>
            <w:noProof/>
          </w:rPr>
          <w:fldChar w:fldCharType="end"/>
        </w:r>
      </w:p>
    </w:sdtContent>
  </w:sdt>
  <w:p w:rsidR="00365389" w:rsidRDefault="003653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3209" w:rsidRDefault="00023209" w:rsidP="000D3E6F">
      <w:pPr>
        <w:spacing w:after="0" w:line="240" w:lineRule="auto"/>
      </w:pPr>
      <w:r>
        <w:separator/>
      </w:r>
    </w:p>
  </w:footnote>
  <w:footnote w:type="continuationSeparator" w:id="0">
    <w:p w:rsidR="00023209" w:rsidRDefault="00023209" w:rsidP="000D3E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C64A0"/>
    <w:multiLevelType w:val="hybridMultilevel"/>
    <w:tmpl w:val="44421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304FB9"/>
    <w:multiLevelType w:val="hybridMultilevel"/>
    <w:tmpl w:val="44421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118421C"/>
    <w:multiLevelType w:val="hybridMultilevel"/>
    <w:tmpl w:val="44421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0346473"/>
    <w:multiLevelType w:val="hybridMultilevel"/>
    <w:tmpl w:val="EBCEED6C"/>
    <w:lvl w:ilvl="0" w:tplc="C608DA28">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0CF214B"/>
    <w:multiLevelType w:val="hybridMultilevel"/>
    <w:tmpl w:val="D60661D4"/>
    <w:lvl w:ilvl="0" w:tplc="6B24C6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636544A"/>
    <w:multiLevelType w:val="hybridMultilevel"/>
    <w:tmpl w:val="2A7E7F8A"/>
    <w:lvl w:ilvl="0" w:tplc="618CC946">
      <w:start w:val="1"/>
      <w:numFmt w:val="decimal"/>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num w:numId="1">
    <w:abstractNumId w:val="2"/>
  </w:num>
  <w:num w:numId="2">
    <w:abstractNumId w:val="0"/>
  </w:num>
  <w:num w:numId="3">
    <w:abstractNumId w:val="4"/>
  </w:num>
  <w:num w:numId="4">
    <w:abstractNumId w:val="1"/>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E3B"/>
    <w:rsid w:val="00005FAE"/>
    <w:rsid w:val="00006071"/>
    <w:rsid w:val="00023209"/>
    <w:rsid w:val="000410D2"/>
    <w:rsid w:val="00054EC2"/>
    <w:rsid w:val="000A05F9"/>
    <w:rsid w:val="000A3F29"/>
    <w:rsid w:val="000D3E6F"/>
    <w:rsid w:val="00126D23"/>
    <w:rsid w:val="00134797"/>
    <w:rsid w:val="001361AB"/>
    <w:rsid w:val="001717FF"/>
    <w:rsid w:val="001A0E35"/>
    <w:rsid w:val="001B3912"/>
    <w:rsid w:val="001C61B6"/>
    <w:rsid w:val="001D7067"/>
    <w:rsid w:val="001E0DFA"/>
    <w:rsid w:val="00235367"/>
    <w:rsid w:val="00241819"/>
    <w:rsid w:val="0024274F"/>
    <w:rsid w:val="00272D4B"/>
    <w:rsid w:val="002C40BC"/>
    <w:rsid w:val="002D3ED4"/>
    <w:rsid w:val="002D7AC5"/>
    <w:rsid w:val="002E6E37"/>
    <w:rsid w:val="002F05C4"/>
    <w:rsid w:val="00303128"/>
    <w:rsid w:val="0032083F"/>
    <w:rsid w:val="00352845"/>
    <w:rsid w:val="00355740"/>
    <w:rsid w:val="00365389"/>
    <w:rsid w:val="00392870"/>
    <w:rsid w:val="003A46C3"/>
    <w:rsid w:val="003B4D0D"/>
    <w:rsid w:val="003E6DC9"/>
    <w:rsid w:val="00403518"/>
    <w:rsid w:val="00407167"/>
    <w:rsid w:val="00432CB9"/>
    <w:rsid w:val="00447827"/>
    <w:rsid w:val="004953E4"/>
    <w:rsid w:val="004B4E22"/>
    <w:rsid w:val="004F3818"/>
    <w:rsid w:val="005235DA"/>
    <w:rsid w:val="005530EC"/>
    <w:rsid w:val="0058035C"/>
    <w:rsid w:val="00580A37"/>
    <w:rsid w:val="005948A4"/>
    <w:rsid w:val="005A37ED"/>
    <w:rsid w:val="005C7C46"/>
    <w:rsid w:val="005D1A6B"/>
    <w:rsid w:val="006162CF"/>
    <w:rsid w:val="0064507B"/>
    <w:rsid w:val="00682019"/>
    <w:rsid w:val="006B213F"/>
    <w:rsid w:val="006C7679"/>
    <w:rsid w:val="006D4515"/>
    <w:rsid w:val="00750D76"/>
    <w:rsid w:val="007627E7"/>
    <w:rsid w:val="007B61E3"/>
    <w:rsid w:val="007E3419"/>
    <w:rsid w:val="007F4305"/>
    <w:rsid w:val="00845131"/>
    <w:rsid w:val="00910FBC"/>
    <w:rsid w:val="009562B8"/>
    <w:rsid w:val="00983F16"/>
    <w:rsid w:val="009A41F0"/>
    <w:rsid w:val="009A5DE1"/>
    <w:rsid w:val="009A6E3E"/>
    <w:rsid w:val="009E2983"/>
    <w:rsid w:val="00A120BD"/>
    <w:rsid w:val="00A3482B"/>
    <w:rsid w:val="00AB5D51"/>
    <w:rsid w:val="00AB6836"/>
    <w:rsid w:val="00AC1D07"/>
    <w:rsid w:val="00AF3F13"/>
    <w:rsid w:val="00B1482D"/>
    <w:rsid w:val="00B43272"/>
    <w:rsid w:val="00B51739"/>
    <w:rsid w:val="00B97418"/>
    <w:rsid w:val="00BB1C58"/>
    <w:rsid w:val="00BD3039"/>
    <w:rsid w:val="00C3612C"/>
    <w:rsid w:val="00C5039C"/>
    <w:rsid w:val="00C75508"/>
    <w:rsid w:val="00C8296B"/>
    <w:rsid w:val="00CF1782"/>
    <w:rsid w:val="00CF3EA4"/>
    <w:rsid w:val="00D657C7"/>
    <w:rsid w:val="00DC56C0"/>
    <w:rsid w:val="00DE7493"/>
    <w:rsid w:val="00DF5C8A"/>
    <w:rsid w:val="00E60E3B"/>
    <w:rsid w:val="00EC6590"/>
    <w:rsid w:val="00ED0EEC"/>
    <w:rsid w:val="00ED583F"/>
    <w:rsid w:val="00EE04FA"/>
    <w:rsid w:val="00EF60D6"/>
    <w:rsid w:val="00F22B20"/>
    <w:rsid w:val="00F34340"/>
    <w:rsid w:val="00F401C4"/>
    <w:rsid w:val="00F806D4"/>
    <w:rsid w:val="00F860FB"/>
    <w:rsid w:val="00F94EF5"/>
    <w:rsid w:val="00F9603F"/>
    <w:rsid w:val="00FF2D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88A73"/>
  <w15:chartTrackingRefBased/>
  <w15:docId w15:val="{FA859AAB-B35B-414F-9C76-B63849653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E0DF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F22B20"/>
    <w:pPr>
      <w:spacing w:before="200" w:after="0" w:line="271" w:lineRule="auto"/>
      <w:outlineLvl w:val="2"/>
    </w:pPr>
    <w:rPr>
      <w:rFonts w:ascii="Cambria" w:eastAsia="Times New Roman" w:hAnsi="Cambria" w:cs="Times New Roman"/>
      <w:b/>
      <w:bCs/>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503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D3E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3E6F"/>
  </w:style>
  <w:style w:type="paragraph" w:styleId="Footer">
    <w:name w:val="footer"/>
    <w:basedOn w:val="Normal"/>
    <w:link w:val="FooterChar"/>
    <w:uiPriority w:val="99"/>
    <w:unhideWhenUsed/>
    <w:rsid w:val="000D3E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3E6F"/>
  </w:style>
  <w:style w:type="character" w:styleId="Hyperlink">
    <w:name w:val="Hyperlink"/>
    <w:basedOn w:val="DefaultParagraphFont"/>
    <w:uiPriority w:val="99"/>
    <w:unhideWhenUsed/>
    <w:rsid w:val="00CF1782"/>
    <w:rPr>
      <w:color w:val="0563C1" w:themeColor="hyperlink"/>
      <w:u w:val="single"/>
    </w:rPr>
  </w:style>
  <w:style w:type="character" w:customStyle="1" w:styleId="Heading3Char">
    <w:name w:val="Heading 3 Char"/>
    <w:basedOn w:val="DefaultParagraphFont"/>
    <w:link w:val="Heading3"/>
    <w:uiPriority w:val="9"/>
    <w:rsid w:val="00F22B20"/>
    <w:rPr>
      <w:rFonts w:ascii="Cambria" w:eastAsia="Times New Roman" w:hAnsi="Cambria" w:cs="Times New Roman"/>
      <w:b/>
      <w:bCs/>
      <w:lang w:bidi="en-US"/>
    </w:rPr>
  </w:style>
  <w:style w:type="paragraph" w:styleId="ListParagraph">
    <w:name w:val="List Paragraph"/>
    <w:basedOn w:val="Normal"/>
    <w:uiPriority w:val="34"/>
    <w:qFormat/>
    <w:rsid w:val="007E3419"/>
    <w:pPr>
      <w:ind w:left="720"/>
      <w:contextualSpacing/>
    </w:pPr>
  </w:style>
  <w:style w:type="character" w:styleId="PlaceholderText">
    <w:name w:val="Placeholder Text"/>
    <w:basedOn w:val="DefaultParagraphFont"/>
    <w:uiPriority w:val="99"/>
    <w:semiHidden/>
    <w:rsid w:val="005C7C46"/>
    <w:rPr>
      <w:color w:val="808080"/>
    </w:rPr>
  </w:style>
  <w:style w:type="character" w:customStyle="1" w:styleId="Heading1Char">
    <w:name w:val="Heading 1 Char"/>
    <w:basedOn w:val="DefaultParagraphFont"/>
    <w:link w:val="Heading1"/>
    <w:uiPriority w:val="9"/>
    <w:rsid w:val="001E0DFA"/>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1E0DFA"/>
    <w:pPr>
      <w:outlineLvl w:val="9"/>
    </w:pPr>
  </w:style>
  <w:style w:type="paragraph" w:styleId="TOC3">
    <w:name w:val="toc 3"/>
    <w:basedOn w:val="Normal"/>
    <w:next w:val="Normal"/>
    <w:autoRedefine/>
    <w:uiPriority w:val="39"/>
    <w:unhideWhenUsed/>
    <w:rsid w:val="001E0DFA"/>
    <w:pPr>
      <w:spacing w:after="100"/>
      <w:ind w:left="440"/>
    </w:pPr>
  </w:style>
  <w:style w:type="paragraph" w:styleId="TOC2">
    <w:name w:val="toc 2"/>
    <w:basedOn w:val="Normal"/>
    <w:next w:val="Normal"/>
    <w:autoRedefine/>
    <w:uiPriority w:val="39"/>
    <w:unhideWhenUsed/>
    <w:rsid w:val="001A0E35"/>
    <w:pPr>
      <w:spacing w:after="100"/>
      <w:ind w:left="220"/>
    </w:pPr>
    <w:rPr>
      <w:rFonts w:eastAsiaTheme="minorEastAsia" w:cs="Times New Roman"/>
    </w:rPr>
  </w:style>
  <w:style w:type="paragraph" w:styleId="TOC1">
    <w:name w:val="toc 1"/>
    <w:basedOn w:val="Normal"/>
    <w:next w:val="Normal"/>
    <w:autoRedefine/>
    <w:uiPriority w:val="39"/>
    <w:unhideWhenUsed/>
    <w:rsid w:val="001A0E35"/>
    <w:pPr>
      <w:spacing w:after="10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4629692">
      <w:bodyDiv w:val="1"/>
      <w:marLeft w:val="0"/>
      <w:marRight w:val="0"/>
      <w:marTop w:val="0"/>
      <w:marBottom w:val="0"/>
      <w:divBdr>
        <w:top w:val="none" w:sz="0" w:space="0" w:color="auto"/>
        <w:left w:val="none" w:sz="0" w:space="0" w:color="auto"/>
        <w:bottom w:val="none" w:sz="0" w:space="0" w:color="auto"/>
        <w:right w:val="none" w:sz="0" w:space="0" w:color="auto"/>
      </w:divBdr>
    </w:div>
    <w:div w:id="1532646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oleObject" Target="embeddings/oleObject1.bin"/><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s://water.usgs.gov/ogw/modflow/"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www.ecan.govt.nz/data/well-search/" TargetMode="External"/><Relationship Id="rId30" Type="http://schemas.openxmlformats.org/officeDocument/2006/relationships/image" Target="media/image20.png"/><Relationship Id="rId35" Type="http://schemas.openxmlformats.org/officeDocument/2006/relationships/oleObject" Target="embeddings/oleObject2.bin"/><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hyperlink" Target="http://www.caee.utexas.edu/prof/maidment/Canterbury/Ex5/Ex5Data.zip" TargetMode="Externa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oleObject" Target="embeddings/oleObject3.bin"/><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53CF"/>
    <w:rsid w:val="00BD53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D53CF"/>
    <w:rPr>
      <w:color w:val="808080"/>
    </w:rPr>
  </w:style>
  <w:style w:type="paragraph" w:customStyle="1" w:styleId="4BF46D832138499080226BFD7F281A1C">
    <w:name w:val="4BF46D832138499080226BFD7F281A1C"/>
    <w:rsid w:val="00BD53CF"/>
  </w:style>
  <w:style w:type="paragraph" w:customStyle="1" w:styleId="C7CC99571D9346A3B8A211A43814C263">
    <w:name w:val="C7CC99571D9346A3B8A211A43814C263"/>
    <w:rsid w:val="00BD53CF"/>
  </w:style>
  <w:style w:type="paragraph" w:customStyle="1" w:styleId="E4595C7012F54405A70562CE40413F18">
    <w:name w:val="E4595C7012F54405A70562CE40413F18"/>
    <w:rsid w:val="00BD53CF"/>
  </w:style>
  <w:style w:type="paragraph" w:customStyle="1" w:styleId="446351D2250B47E9A674FC967A935DE6">
    <w:name w:val="446351D2250B47E9A674FC967A935DE6"/>
    <w:rsid w:val="00BD53CF"/>
  </w:style>
  <w:style w:type="paragraph" w:customStyle="1" w:styleId="D1E1EC082FFA4EDAB780F32D711F607C">
    <w:name w:val="D1E1EC082FFA4EDAB780F32D711F607C"/>
    <w:rsid w:val="00BD53CF"/>
  </w:style>
  <w:style w:type="paragraph" w:customStyle="1" w:styleId="B70FD045B8914DB999BA8E98AC3E137C">
    <w:name w:val="B70FD045B8914DB999BA8E98AC3E137C"/>
    <w:rsid w:val="00BD53CF"/>
  </w:style>
  <w:style w:type="paragraph" w:customStyle="1" w:styleId="0F00DD0193EE43E7939457DBE22C53FC">
    <w:name w:val="0F00DD0193EE43E7939457DBE22C53FC"/>
    <w:rsid w:val="00BD53CF"/>
  </w:style>
  <w:style w:type="paragraph" w:customStyle="1" w:styleId="71D9FF032C984A6F8A578BA52EEC18C4">
    <w:name w:val="71D9FF032C984A6F8A578BA52EEC18C4"/>
    <w:rsid w:val="00BD53CF"/>
  </w:style>
  <w:style w:type="paragraph" w:customStyle="1" w:styleId="B9E414259FEF49FC889D3477A1DFF534">
    <w:name w:val="B9E414259FEF49FC889D3477A1DFF534"/>
    <w:rsid w:val="00BD53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8F6332-2DE8-4C53-8D53-608B88331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2478</Words>
  <Characters>14128</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Cockrell School of Engineering</Company>
  <LinksUpToDate>false</LinksUpToDate>
  <CharactersWithSpaces>16573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Maidment, David R</dc:creator>
  <cp:keywords/>
  <dc:description/>
  <cp:lastModifiedBy>Maidment, David R</cp:lastModifiedBy>
  <cp:revision>2</cp:revision>
  <cp:lastPrinted>2018-03-20T21:59:00Z</cp:lastPrinted>
  <dcterms:created xsi:type="dcterms:W3CDTF">2018-03-20T21:59:00Z</dcterms:created>
  <dcterms:modified xsi:type="dcterms:W3CDTF">2018-03-20T21:59:00Z</dcterms:modified>
</cp:coreProperties>
</file>